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610177" w14:textId="625AC889" w:rsidR="002851E6" w:rsidRPr="004F506B" w:rsidRDefault="002851E6" w:rsidP="002851E6">
      <w:pPr>
        <w:pStyle w:val="3GPPHeader"/>
        <w:spacing w:after="60"/>
        <w:rPr>
          <w:sz w:val="32"/>
          <w:szCs w:val="32"/>
          <w:highlight w:val="yellow"/>
        </w:rPr>
      </w:pPr>
      <w:r w:rsidRPr="004F506B">
        <w:t>3GPP TSG-RAN WG2#</w:t>
      </w:r>
      <w:r w:rsidR="00C1513C" w:rsidRPr="004F506B">
        <w:t>103</w:t>
      </w:r>
      <w:r w:rsidR="001B17E3">
        <w:t>bis</w:t>
      </w:r>
      <w:r w:rsidRPr="004F506B">
        <w:tab/>
      </w:r>
      <w:r w:rsidRPr="004F506B">
        <w:rPr>
          <w:sz w:val="32"/>
          <w:szCs w:val="32"/>
        </w:rPr>
        <w:t xml:space="preserve">Tdoc </w:t>
      </w:r>
      <w:r w:rsidR="002441E3" w:rsidRPr="002441E3">
        <w:rPr>
          <w:sz w:val="32"/>
          <w:szCs w:val="32"/>
        </w:rPr>
        <w:t>R2-1814322</w:t>
      </w:r>
    </w:p>
    <w:p w14:paraId="4A822445" w14:textId="487654BF" w:rsidR="002851E6" w:rsidRPr="004F506B" w:rsidRDefault="001B17E3" w:rsidP="002851E6">
      <w:pPr>
        <w:pStyle w:val="3GPPHeader"/>
      </w:pPr>
      <w:r w:rsidRPr="001B17E3">
        <w:t>Chengdu, China, 8th – 12th October 2018</w:t>
      </w:r>
    </w:p>
    <w:p w14:paraId="7DB6566F" w14:textId="77777777" w:rsidR="002851E6" w:rsidRPr="004F506B" w:rsidRDefault="002851E6" w:rsidP="002851E6">
      <w:pPr>
        <w:pStyle w:val="3GPPHeader"/>
      </w:pPr>
      <w:bookmarkStart w:id="0" w:name="_GoBack"/>
      <w:bookmarkEnd w:id="0"/>
    </w:p>
    <w:p w14:paraId="571EEBB1" w14:textId="1B69E802" w:rsidR="002851E6" w:rsidRPr="0095149C" w:rsidRDefault="002851E6" w:rsidP="002851E6">
      <w:pPr>
        <w:pStyle w:val="3GPPHeader"/>
        <w:rPr>
          <w:sz w:val="22"/>
          <w:lang w:val="en-US"/>
        </w:rPr>
      </w:pPr>
      <w:r w:rsidRPr="0095149C">
        <w:rPr>
          <w:sz w:val="22"/>
          <w:lang w:val="en-US"/>
        </w:rPr>
        <w:t>Agenda Item:</w:t>
      </w:r>
      <w:r w:rsidRPr="0095149C">
        <w:rPr>
          <w:sz w:val="22"/>
          <w:lang w:val="en-US"/>
        </w:rPr>
        <w:tab/>
      </w:r>
      <w:r w:rsidR="00321A3A" w:rsidRPr="00321A3A">
        <w:rPr>
          <w:sz w:val="22"/>
          <w:lang w:val="en-US"/>
        </w:rPr>
        <w:t>12.3.3</w:t>
      </w:r>
      <w:r w:rsidR="00321A3A">
        <w:rPr>
          <w:sz w:val="22"/>
          <w:lang w:val="en-US"/>
        </w:rPr>
        <w:t xml:space="preserve"> </w:t>
      </w:r>
      <w:r w:rsidR="00321A3A" w:rsidRPr="00321A3A">
        <w:rPr>
          <w:sz w:val="22"/>
          <w:lang w:val="en-US"/>
        </w:rPr>
        <w:t>Handover robustness improvements</w:t>
      </w:r>
    </w:p>
    <w:p w14:paraId="5DAA27F0" w14:textId="5F8B2394" w:rsidR="00E90E49" w:rsidRPr="004F506B" w:rsidRDefault="002851E6" w:rsidP="00F64C2B">
      <w:pPr>
        <w:pStyle w:val="3GPPHeader"/>
        <w:rPr>
          <w:sz w:val="22"/>
        </w:rPr>
      </w:pPr>
      <w:r w:rsidRPr="004F506B">
        <w:rPr>
          <w:sz w:val="22"/>
        </w:rPr>
        <w:t>Source:</w:t>
      </w:r>
      <w:r w:rsidRPr="004F506B">
        <w:rPr>
          <w:sz w:val="22"/>
        </w:rPr>
        <w:tab/>
        <w:t>Ericsson</w:t>
      </w:r>
    </w:p>
    <w:p w14:paraId="152219B8" w14:textId="3C08CE94" w:rsidR="00661CE7" w:rsidRDefault="003D3C45" w:rsidP="00311702">
      <w:pPr>
        <w:pStyle w:val="3GPPHeader"/>
        <w:rPr>
          <w:sz w:val="22"/>
          <w:szCs w:val="22"/>
        </w:rPr>
      </w:pPr>
      <w:r w:rsidRPr="004F506B">
        <w:rPr>
          <w:sz w:val="22"/>
          <w:szCs w:val="22"/>
        </w:rPr>
        <w:t>Title:</w:t>
      </w:r>
      <w:r w:rsidR="00E90E49" w:rsidRPr="004F506B">
        <w:rPr>
          <w:sz w:val="22"/>
          <w:szCs w:val="22"/>
        </w:rPr>
        <w:tab/>
      </w:r>
      <w:r w:rsidR="00520531">
        <w:rPr>
          <w:sz w:val="22"/>
          <w:szCs w:val="22"/>
        </w:rPr>
        <w:t>Enhancements to re-establishment procedure in LTE</w:t>
      </w:r>
    </w:p>
    <w:p w14:paraId="65935703" w14:textId="3C35EBD1" w:rsidR="00E90E49" w:rsidRPr="00C90D51" w:rsidRDefault="002851E6" w:rsidP="00C90D51">
      <w:pPr>
        <w:pStyle w:val="3GPPHeader"/>
        <w:rPr>
          <w:sz w:val="22"/>
        </w:rPr>
      </w:pPr>
      <w:r w:rsidRPr="004F506B">
        <w:rPr>
          <w:sz w:val="22"/>
        </w:rPr>
        <w:t>Document for:</w:t>
      </w:r>
      <w:r w:rsidRPr="004F506B">
        <w:rPr>
          <w:sz w:val="22"/>
        </w:rPr>
        <w:tab/>
        <w:t>Discussion, Decision</w:t>
      </w:r>
    </w:p>
    <w:p w14:paraId="607E06CC" w14:textId="2E99197B" w:rsidR="00E90E49" w:rsidRPr="004F506B" w:rsidRDefault="00E90E49" w:rsidP="00CE0424">
      <w:pPr>
        <w:pStyle w:val="Heading1"/>
      </w:pPr>
      <w:r w:rsidRPr="004F506B">
        <w:t>Introduction</w:t>
      </w:r>
    </w:p>
    <w:p w14:paraId="7BB8EFCB" w14:textId="77777777" w:rsidR="00AF1374" w:rsidRDefault="0062433C" w:rsidP="00465694">
      <w:r>
        <w:t>To improve mobility robustness and reduce interruption time, RAN#80 plenary approved a Work Item (WI) entitled “</w:t>
      </w:r>
      <w:r w:rsidRPr="003149C6">
        <w:t>Even further Mobility enhancement in E-UTRAN</w:t>
      </w:r>
      <w:r>
        <w:t xml:space="preserve">” [1]. In a companion paper [2] we have provided an overview of different aspects to be discussed in the WI and two categories of solutions: </w:t>
      </w:r>
    </w:p>
    <w:p w14:paraId="4691C033" w14:textId="77777777" w:rsidR="00AF1374" w:rsidRDefault="00AF1374" w:rsidP="00AF1374">
      <w:pPr>
        <w:pStyle w:val="ListParagraph"/>
        <w:numPr>
          <w:ilvl w:val="0"/>
          <w:numId w:val="32"/>
        </w:numPr>
      </w:pPr>
      <w:r>
        <w:t>1/ Improve mechanisms to avoid mobility failures;</w:t>
      </w:r>
    </w:p>
    <w:p w14:paraId="60874110" w14:textId="77777777" w:rsidR="00AF1374" w:rsidRPr="00992A20" w:rsidRDefault="00AF1374" w:rsidP="00AF1374">
      <w:pPr>
        <w:pStyle w:val="ListParagraph"/>
        <w:numPr>
          <w:ilvl w:val="0"/>
          <w:numId w:val="32"/>
        </w:numPr>
      </w:pPr>
      <w:r w:rsidRPr="00992A20">
        <w:t>2/ Improve recovery mechanisms when a mobility failure occurs;</w:t>
      </w:r>
    </w:p>
    <w:p w14:paraId="5861EC24" w14:textId="6851681A" w:rsidR="00AF1374" w:rsidRDefault="00AF1374" w:rsidP="00465694">
      <w:r>
        <w:t>In the first case, mechanisms are used to avoid mobility failures (i.e. RLFs and handover failures). In the second case, once a mobility failure is detected, it is desired to recover the connection as fast as possible.  Existing mechanisms in EUTRA for recovery in the inter-cell case are RRC re-establishment (triggered upon handover failure or RLF), accelerated RLF triggered by the expiry of timer T312 (if configured), etc.</w:t>
      </w:r>
    </w:p>
    <w:p w14:paraId="32E08581" w14:textId="23AABE40" w:rsidR="0062433C" w:rsidRPr="00465694" w:rsidRDefault="0062433C" w:rsidP="00465694">
      <w:r>
        <w:t xml:space="preserve">This paper discusses possible improvements to the </w:t>
      </w:r>
      <w:r w:rsidR="00AF1374">
        <w:t xml:space="preserve">re-establishment procedure, initiated during the </w:t>
      </w:r>
      <w:r>
        <w:t>recovery of handover failure.</w:t>
      </w:r>
    </w:p>
    <w:p w14:paraId="19A97A98" w14:textId="77777777" w:rsidR="002A4F4E" w:rsidRPr="004F506B" w:rsidRDefault="002A4F4E" w:rsidP="002A4F4E">
      <w:pPr>
        <w:pStyle w:val="Heading1"/>
      </w:pPr>
      <w:bookmarkStart w:id="1" w:name="_Ref178064866"/>
      <w:r w:rsidRPr="004F506B">
        <w:t>Discussion</w:t>
      </w:r>
      <w:bookmarkEnd w:id="1"/>
    </w:p>
    <w:p w14:paraId="2F76EC3A" w14:textId="3F421F49" w:rsidR="004A4A75" w:rsidRDefault="0068679A" w:rsidP="001D0512">
      <w:r>
        <w:t>In EUTRA, an RRC_CONNECTED UE tries to access a target cell upon there reception of a handover command (</w:t>
      </w:r>
      <w:r w:rsidRPr="0068679A">
        <w:rPr>
          <w:i/>
        </w:rPr>
        <w:t>RRCConnectionReconfiguration</w:t>
      </w:r>
      <w:r>
        <w:t xml:space="preserve"> with </w:t>
      </w:r>
      <w:r w:rsidRPr="0068679A">
        <w:rPr>
          <w:i/>
        </w:rPr>
        <w:t>mobilityControlInfo</w:t>
      </w:r>
      <w:r>
        <w:t>). That contains a timer value T304 that shall be started upon the reception of the message. If the timer T304 expiries before the UE succeeds in accessing the target cell, a handover failure is declared, and the UE initiates a re-establishment procedure.</w:t>
      </w:r>
    </w:p>
    <w:p w14:paraId="45FCB7E3" w14:textId="3767CD8B" w:rsidR="0068679A" w:rsidRPr="0068679A" w:rsidRDefault="0068679A" w:rsidP="0068679A">
      <w:pPr>
        <w:rPr>
          <w:noProof/>
        </w:rPr>
      </w:pPr>
      <w:r>
        <w:t xml:space="preserve">Upon the initiation of the LTE re-establishment procedure, the UE suspends all RBs except SRB0. The UE will then send the </w:t>
      </w:r>
      <w:r w:rsidRPr="000C14B4">
        <w:rPr>
          <w:i/>
        </w:rPr>
        <w:t xml:space="preserve">RRCConnectionReestablishmentRequest </w:t>
      </w:r>
      <w:r>
        <w:t xml:space="preserve">on SRB0. At this state they UE will either get back a </w:t>
      </w:r>
      <w:r w:rsidRPr="00640076">
        <w:rPr>
          <w:i/>
          <w:noProof/>
        </w:rPr>
        <w:t>RRCConnectionReestablishment</w:t>
      </w:r>
      <w:r>
        <w:rPr>
          <w:i/>
          <w:noProof/>
        </w:rPr>
        <w:t xml:space="preserve"> on </w:t>
      </w:r>
      <w:r w:rsidRPr="000C14B4">
        <w:rPr>
          <w:noProof/>
        </w:rPr>
        <w:t xml:space="preserve">SRB0 </w:t>
      </w:r>
      <w:r>
        <w:rPr>
          <w:noProof/>
        </w:rPr>
        <w:t xml:space="preserve">or a </w:t>
      </w:r>
      <w:r w:rsidRPr="008A4266">
        <w:rPr>
          <w:i/>
          <w:noProof/>
        </w:rPr>
        <w:t>RRCConnectionReestablishmentReject</w:t>
      </w:r>
      <w:r>
        <w:rPr>
          <w:i/>
          <w:noProof/>
        </w:rPr>
        <w:t xml:space="preserve"> </w:t>
      </w:r>
      <w:r w:rsidRPr="000C14B4">
        <w:rPr>
          <w:noProof/>
        </w:rPr>
        <w:t>on SRB0</w:t>
      </w:r>
      <w:r>
        <w:rPr>
          <w:noProof/>
        </w:rPr>
        <w:t xml:space="preserve">. In case the UE gets back an </w:t>
      </w:r>
      <w:r w:rsidRPr="00640076">
        <w:rPr>
          <w:i/>
          <w:noProof/>
        </w:rPr>
        <w:t>RRCConnectionReestablishment</w:t>
      </w:r>
      <w:r>
        <w:rPr>
          <w:i/>
          <w:noProof/>
        </w:rPr>
        <w:t xml:space="preserve">, </w:t>
      </w:r>
      <w:r>
        <w:rPr>
          <w:noProof/>
        </w:rPr>
        <w:t xml:space="preserve">it will re-establish SRB1 and send the </w:t>
      </w:r>
      <w:r w:rsidRPr="000C14B4">
        <w:rPr>
          <w:i/>
          <w:noProof/>
        </w:rPr>
        <w:t>RRCConnectionReestablishmentComplete</w:t>
      </w:r>
      <w:r>
        <w:rPr>
          <w:i/>
          <w:noProof/>
        </w:rPr>
        <w:t xml:space="preserve"> </w:t>
      </w:r>
      <w:r w:rsidRPr="000C14B4">
        <w:rPr>
          <w:noProof/>
        </w:rPr>
        <w:t>on SRB1</w:t>
      </w:r>
      <w:r>
        <w:rPr>
          <w:noProof/>
        </w:rPr>
        <w:t xml:space="preserve">. According to 36.331, the network is not allowed to start sending DL messages on SRB1 until it receives the </w:t>
      </w:r>
      <w:r w:rsidRPr="000C14B4">
        <w:rPr>
          <w:i/>
          <w:noProof/>
        </w:rPr>
        <w:t>RRCConnectionReestablishmentComplete</w:t>
      </w:r>
      <w:r>
        <w:rPr>
          <w:i/>
          <w:noProof/>
        </w:rPr>
        <w:t>.</w:t>
      </w:r>
    </w:p>
    <w:bookmarkStart w:id="2" w:name="_MON_1289914521"/>
    <w:bookmarkEnd w:id="2"/>
    <w:p w14:paraId="523DDE3F" w14:textId="77777777" w:rsidR="0068679A" w:rsidRPr="004E1F03" w:rsidRDefault="0068679A" w:rsidP="0068679A">
      <w:pPr>
        <w:pStyle w:val="TH"/>
      </w:pPr>
      <w:r w:rsidRPr="004E1F03">
        <w:object w:dxaOrig="6854" w:dyaOrig="3434" w14:anchorId="66A88B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161.25pt" o:ole="">
            <v:imagedata r:id="rId8" o:title=""/>
          </v:shape>
          <o:OLEObject Type="Embed" ProgID="Word.Picture.8" ShapeID="_x0000_i1025" DrawAspect="Content" ObjectID="_1599591132" r:id="rId9"/>
        </w:object>
      </w:r>
    </w:p>
    <w:p w14:paraId="2A84081B" w14:textId="77777777" w:rsidR="0068679A" w:rsidRPr="004E1F03" w:rsidRDefault="0068679A" w:rsidP="0068679A">
      <w:pPr>
        <w:pStyle w:val="TF"/>
      </w:pPr>
      <w:r w:rsidRPr="004E1F03">
        <w:t>Figure 5.3.7.1-1: RRC connection re-establishment, successful</w:t>
      </w:r>
    </w:p>
    <w:bookmarkStart w:id="3" w:name="_MON_1267947623"/>
    <w:bookmarkEnd w:id="3"/>
    <w:bookmarkStart w:id="4" w:name="_MON_1289914522"/>
    <w:bookmarkEnd w:id="4"/>
    <w:p w14:paraId="2637B8E5" w14:textId="77777777" w:rsidR="0068679A" w:rsidRPr="004E1F03" w:rsidRDefault="0068679A" w:rsidP="0068679A">
      <w:pPr>
        <w:pStyle w:val="TH"/>
      </w:pPr>
      <w:r w:rsidRPr="004E1F03">
        <w:object w:dxaOrig="6854" w:dyaOrig="2489" w14:anchorId="6AEE479A">
          <v:shape id="_x0000_i1026" type="#_x0000_t75" style="width:318pt;height:115.5pt" o:ole="">
            <v:imagedata r:id="rId10" o:title=""/>
          </v:shape>
          <o:OLEObject Type="Embed" ProgID="Word.Picture.8" ShapeID="_x0000_i1026" DrawAspect="Content" ObjectID="_1599591133" r:id="rId11"/>
        </w:object>
      </w:r>
    </w:p>
    <w:p w14:paraId="42BCEECD" w14:textId="77777777" w:rsidR="0068679A" w:rsidRPr="004E1F03" w:rsidRDefault="0068679A" w:rsidP="0068679A">
      <w:pPr>
        <w:pStyle w:val="TF"/>
      </w:pPr>
      <w:r w:rsidRPr="004E1F03">
        <w:t>Figure 5.3.7.1-2: RRC connection re-establishment, failure</w:t>
      </w:r>
    </w:p>
    <w:p w14:paraId="0B274813" w14:textId="77777777" w:rsidR="0068679A" w:rsidRDefault="0068679A" w:rsidP="0068679A">
      <w:pPr>
        <w:rPr>
          <w:i/>
          <w:noProof/>
        </w:rPr>
      </w:pPr>
    </w:p>
    <w:p w14:paraId="33B8BB02" w14:textId="02194748" w:rsidR="0068679A" w:rsidRDefault="0068679A" w:rsidP="001D0512">
      <w:pPr>
        <w:rPr>
          <w:noProof/>
        </w:rPr>
      </w:pPr>
      <w:r>
        <w:rPr>
          <w:noProof/>
        </w:rPr>
        <w:t xml:space="preserve">In case the UE gets back an </w:t>
      </w:r>
      <w:r w:rsidRPr="008A4266">
        <w:rPr>
          <w:i/>
          <w:noProof/>
        </w:rPr>
        <w:t>RRCConnectionReestablishmentReject</w:t>
      </w:r>
      <w:r>
        <w:rPr>
          <w:i/>
          <w:noProof/>
        </w:rPr>
        <w:t xml:space="preserve">, </w:t>
      </w:r>
      <w:r>
        <w:rPr>
          <w:noProof/>
        </w:rPr>
        <w:t xml:space="preserve">it will perform actions upon leaving RRC connected state and inform NAS layer about RRC connection failure. This will trigger the NAS layer to perform recovery which includes a new RRC connection setup. </w:t>
      </w:r>
    </w:p>
    <w:p w14:paraId="5B477253" w14:textId="130BD0A6" w:rsidR="0068679A" w:rsidRDefault="0068679A" w:rsidP="0068679A">
      <w:pPr>
        <w:rPr>
          <w:noProof/>
        </w:rPr>
      </w:pPr>
    </w:p>
    <w:p w14:paraId="2C192D58" w14:textId="023286F6" w:rsidR="0068679A" w:rsidRPr="00324092" w:rsidRDefault="00324092" w:rsidP="0068679A">
      <w:pPr>
        <w:rPr>
          <w:b/>
          <w:i/>
          <w:noProof/>
          <w:sz w:val="22"/>
          <w:u w:val="single"/>
        </w:rPr>
      </w:pPr>
      <w:r w:rsidRPr="00324092">
        <w:rPr>
          <w:b/>
          <w:i/>
          <w:noProof/>
          <w:sz w:val="22"/>
          <w:u w:val="single"/>
        </w:rPr>
        <w:t>Potential e</w:t>
      </w:r>
      <w:r w:rsidR="0068679A" w:rsidRPr="00324092">
        <w:rPr>
          <w:b/>
          <w:i/>
          <w:noProof/>
          <w:sz w:val="22"/>
          <w:u w:val="single"/>
        </w:rPr>
        <w:t xml:space="preserve">nhancements to the re-establishment procedure in </w:t>
      </w:r>
      <w:r w:rsidRPr="00324092">
        <w:rPr>
          <w:b/>
          <w:i/>
          <w:noProof/>
          <w:sz w:val="22"/>
          <w:u w:val="single"/>
        </w:rPr>
        <w:t>EUTRA</w:t>
      </w:r>
    </w:p>
    <w:p w14:paraId="7AC65157" w14:textId="4D54E08F" w:rsidR="004B290F" w:rsidRDefault="004B290F" w:rsidP="004B290F">
      <w:pPr>
        <w:rPr>
          <w:noProof/>
        </w:rPr>
      </w:pPr>
      <w:r>
        <w:rPr>
          <w:noProof/>
        </w:rPr>
        <w:t>The EUTRA re-establishment procedure was revisited during the NR standardization and in RAN2#101 in Sany</w:t>
      </w:r>
      <w:r w:rsidR="00A053C4">
        <w:rPr>
          <w:noProof/>
        </w:rPr>
        <w:t>a</w:t>
      </w:r>
      <w:r>
        <w:rPr>
          <w:noProof/>
        </w:rPr>
        <w:t>, some aspects have been agreed to be enhanced to speed up the failure recovery e.g. in case of handover failures. Some of these enhancements are the following:</w:t>
      </w:r>
    </w:p>
    <w:p w14:paraId="25BD9A5A" w14:textId="602B09AE" w:rsidR="0068679A" w:rsidRDefault="004B290F" w:rsidP="004B290F">
      <w:pPr>
        <w:pStyle w:val="ListParagraph"/>
        <w:numPr>
          <w:ilvl w:val="0"/>
          <w:numId w:val="32"/>
        </w:numPr>
        <w:rPr>
          <w:noProof/>
        </w:rPr>
      </w:pPr>
      <w:r w:rsidRPr="004B290F">
        <w:rPr>
          <w:b/>
          <w:i/>
          <w:noProof/>
        </w:rPr>
        <w:t>RRCReestablishment on SRB1</w:t>
      </w:r>
      <w:r>
        <w:rPr>
          <w:noProof/>
        </w:rPr>
        <w:t xml:space="preserve">: RAN2 understanding was that there was </w:t>
      </w:r>
      <w:r w:rsidR="0068679A">
        <w:rPr>
          <w:noProof/>
        </w:rPr>
        <w:t xml:space="preserve">no fundamental reason why the UE </w:t>
      </w:r>
      <w:r>
        <w:rPr>
          <w:noProof/>
        </w:rPr>
        <w:t xml:space="preserve">could not </w:t>
      </w:r>
      <w:r w:rsidR="0068679A">
        <w:rPr>
          <w:noProof/>
        </w:rPr>
        <w:t xml:space="preserve">re-establish PDCP for SRB1 and resume SRB1 in the DL before submitting MSG3 to lower layers. This would make it possible to use SRB1 for MSG4 instead of SRB0, which would in turn make it possible to send subsequent RRC reconfiguration message in conjunction with MSG4 or directly after instead of waiting for the UE response in MSG5. Which would save a rountrip in the re-establishment of DRBs. </w:t>
      </w:r>
    </w:p>
    <w:p w14:paraId="75D74336" w14:textId="63752C22" w:rsidR="0068679A" w:rsidRDefault="004B290F" w:rsidP="004B290F">
      <w:pPr>
        <w:pStyle w:val="ListParagraph"/>
        <w:numPr>
          <w:ilvl w:val="0"/>
          <w:numId w:val="32"/>
        </w:numPr>
        <w:rPr>
          <w:noProof/>
        </w:rPr>
      </w:pPr>
      <w:r w:rsidRPr="004B290F">
        <w:rPr>
          <w:b/>
          <w:i/>
          <w:noProof/>
        </w:rPr>
        <w:t>RRCSetup in response to RRCReestablishmentRequest</w:t>
      </w:r>
      <w:r>
        <w:rPr>
          <w:noProof/>
        </w:rPr>
        <w:t xml:space="preserve">: RAN2 understanding was that it </w:t>
      </w:r>
      <w:r w:rsidR="0068679A" w:rsidRPr="004A196F">
        <w:rPr>
          <w:noProof/>
        </w:rPr>
        <w:t>would also be possible to support faster NAS recovery in the RAN in the case the RAN is not able to re-establish the UE context</w:t>
      </w:r>
      <w:r>
        <w:rPr>
          <w:noProof/>
        </w:rPr>
        <w:t xml:space="preserve"> e.g. a cell is not prepared during handover failure.</w:t>
      </w:r>
      <w:r w:rsidR="0068679A" w:rsidRPr="004A196F">
        <w:rPr>
          <w:noProof/>
        </w:rPr>
        <w:t xml:space="preserve"> This could be done by the network</w:t>
      </w:r>
      <w:r w:rsidR="0068679A">
        <w:rPr>
          <w:noProof/>
        </w:rPr>
        <w:t xml:space="preserve"> sending</w:t>
      </w:r>
      <w:r w:rsidR="0068679A" w:rsidRPr="004A196F">
        <w:rPr>
          <w:noProof/>
        </w:rPr>
        <w:t xml:space="preserve"> an RRC connection setup message on SRB0 </w:t>
      </w:r>
      <w:r w:rsidR="0068679A">
        <w:rPr>
          <w:noProof/>
        </w:rPr>
        <w:t xml:space="preserve">(instead of a RRC re-establishment reject) which could be used to initiate </w:t>
      </w:r>
      <w:r w:rsidR="0068679A" w:rsidRPr="004A196F">
        <w:rPr>
          <w:noProof/>
        </w:rPr>
        <w:t>normal RRC connection setup.</w:t>
      </w:r>
    </w:p>
    <w:p w14:paraId="25C7F7F0" w14:textId="0A1530B0" w:rsidR="00324092" w:rsidRDefault="00230E00" w:rsidP="001D0512">
      <w:pPr>
        <w:pStyle w:val="ListParagraph"/>
        <w:numPr>
          <w:ilvl w:val="0"/>
          <w:numId w:val="32"/>
        </w:numPr>
        <w:rPr>
          <w:noProof/>
        </w:rPr>
      </w:pPr>
      <w:r>
        <w:rPr>
          <w:b/>
          <w:i/>
          <w:noProof/>
        </w:rPr>
        <w:t>RRCReestablishmentReject</w:t>
      </w:r>
      <w:r w:rsidRPr="00230E00">
        <w:rPr>
          <w:b/>
          <w:noProof/>
        </w:rPr>
        <w:t xml:space="preserve"> was removed</w:t>
      </w:r>
      <w:r>
        <w:rPr>
          <w:noProof/>
        </w:rPr>
        <w:t>: RAN2 understanding was that this was note needed any longer thanks to the fallback procedure</w:t>
      </w:r>
      <w:r w:rsidRPr="004A196F">
        <w:rPr>
          <w:noProof/>
        </w:rPr>
        <w:t>.</w:t>
      </w:r>
      <w:r>
        <w:rPr>
          <w:noProof/>
        </w:rPr>
        <w:t xml:space="preserve"> If the UE tries to re-establish in a cell that is not prepared or that the entwork cannot re-establish the DRBs the network can send an RRCSetup. And, in the scenario where the cell is overloaded, network may simply wait until the failure timer T301 expires, so that the UE would enter RRC_IDLE and would perform access control before trying again. </w:t>
      </w:r>
    </w:p>
    <w:p w14:paraId="2642F9F6" w14:textId="610354C4" w:rsidR="00230E00" w:rsidRDefault="00230E00" w:rsidP="00230E00">
      <w:pPr>
        <w:rPr>
          <w:rFonts w:ascii="Times New Roman" w:hAnsi="Times New Roman"/>
          <w:lang w:eastAsia="ja-JP"/>
        </w:rPr>
      </w:pPr>
      <w:r>
        <w:t xml:space="preserve">The following figure describes the reestablishment procedure in NR where these enhancements were adopted: </w:t>
      </w:r>
    </w:p>
    <w:p w14:paraId="727C23D0" w14:textId="77777777" w:rsidR="00230E00" w:rsidRDefault="00230E00" w:rsidP="00230E00">
      <w:pPr>
        <w:spacing w:after="180"/>
        <w:jc w:val="left"/>
        <w:rPr>
          <w:rFonts w:ascii="Times New Roman" w:hAnsi="Times New Roman"/>
          <w:lang w:eastAsia="ja-JP"/>
        </w:rPr>
      </w:pPr>
      <w:r>
        <w:rPr>
          <w:noProof/>
        </w:rPr>
        <w:object w:dxaOrig="11700" w:dyaOrig="7365" w14:anchorId="5348ADDE">
          <v:shape id="_x0000_i1027" type="#_x0000_t75" alt="" style="width:441pt;height:277.5pt" o:ole="">
            <v:imagedata r:id="rId12" o:title=""/>
          </v:shape>
          <o:OLEObject Type="Embed" ProgID="Mscgen.Chart" ShapeID="_x0000_i1027" DrawAspect="Content" ObjectID="_1599591134" r:id="rId13"/>
        </w:object>
      </w:r>
    </w:p>
    <w:p w14:paraId="1F76CD6A" w14:textId="77777777" w:rsidR="00230E00" w:rsidRDefault="00230E00" w:rsidP="00230E00">
      <w:pPr>
        <w:spacing w:after="180"/>
        <w:jc w:val="left"/>
        <w:rPr>
          <w:rFonts w:ascii="Times New Roman" w:hAnsi="Times New Roman"/>
          <w:lang w:eastAsia="ja-JP"/>
        </w:rPr>
      </w:pPr>
    </w:p>
    <w:p w14:paraId="0F7529AC" w14:textId="77777777" w:rsidR="00230E00" w:rsidRPr="00230E00" w:rsidRDefault="00230E00" w:rsidP="00230E00">
      <w:pPr>
        <w:spacing w:after="180"/>
        <w:ind w:left="568" w:hanging="284"/>
        <w:jc w:val="left"/>
        <w:rPr>
          <w:rFonts w:cs="Arial"/>
          <w:lang w:eastAsia="ja-JP"/>
        </w:rPr>
      </w:pPr>
      <w:r w:rsidRPr="00230E00">
        <w:rPr>
          <w:rFonts w:cs="Arial"/>
          <w:lang w:eastAsia="ja-JP"/>
        </w:rPr>
        <w:t>1.</w:t>
      </w:r>
      <w:r w:rsidRPr="00230E00">
        <w:rPr>
          <w:rFonts w:cs="Arial"/>
          <w:lang w:eastAsia="ja-JP"/>
        </w:rPr>
        <w:tab/>
        <w:t>The UE re-establishes the connection, providing the UE Identity (PCI+C-RNTI) to the gNB where the trigger for the re-establishment occurred.</w:t>
      </w:r>
    </w:p>
    <w:p w14:paraId="1CCC536C" w14:textId="77777777" w:rsidR="00230E00" w:rsidRPr="00230E00" w:rsidRDefault="00230E00" w:rsidP="00230E00">
      <w:pPr>
        <w:spacing w:after="180"/>
        <w:ind w:left="568" w:hanging="284"/>
        <w:jc w:val="left"/>
        <w:rPr>
          <w:rFonts w:cs="Arial"/>
          <w:lang w:eastAsia="ja-JP"/>
        </w:rPr>
      </w:pPr>
      <w:r w:rsidRPr="00230E00">
        <w:rPr>
          <w:rFonts w:cs="Arial"/>
          <w:lang w:eastAsia="ja-JP"/>
        </w:rPr>
        <w:t>2.</w:t>
      </w:r>
      <w:r w:rsidRPr="00230E00">
        <w:rPr>
          <w:rFonts w:cs="Arial"/>
          <w:lang w:eastAsia="ja-JP"/>
        </w:rPr>
        <w:tab/>
      </w:r>
      <w:bookmarkStart w:id="5" w:name="_Hlk516208184"/>
      <w:r w:rsidRPr="00230E00">
        <w:rPr>
          <w:rFonts w:cs="Arial"/>
          <w:lang w:eastAsia="ja-JP"/>
        </w:rPr>
        <w:t>If the UE Context is not locally available, the gNB, requests the last serving gNB to provide UE Context data.</w:t>
      </w:r>
      <w:bookmarkEnd w:id="5"/>
    </w:p>
    <w:p w14:paraId="65A928F4" w14:textId="77777777" w:rsidR="00230E00" w:rsidRPr="00230E00" w:rsidRDefault="00230E00" w:rsidP="00230E00">
      <w:pPr>
        <w:spacing w:after="180"/>
        <w:ind w:left="568" w:hanging="284"/>
        <w:jc w:val="left"/>
        <w:rPr>
          <w:rFonts w:cs="Arial"/>
          <w:lang w:eastAsia="ja-JP"/>
        </w:rPr>
      </w:pPr>
      <w:r w:rsidRPr="00230E00">
        <w:rPr>
          <w:rFonts w:cs="Arial"/>
          <w:lang w:eastAsia="ja-JP"/>
        </w:rPr>
        <w:t>3.</w:t>
      </w:r>
      <w:r w:rsidRPr="00230E00">
        <w:rPr>
          <w:rFonts w:cs="Arial"/>
          <w:lang w:eastAsia="ja-JP"/>
        </w:rPr>
        <w:tab/>
        <w:t>The last serving gNB provides UE context data.</w:t>
      </w:r>
    </w:p>
    <w:p w14:paraId="259506DD" w14:textId="77777777" w:rsidR="00230E00" w:rsidRPr="00230E00" w:rsidRDefault="00230E00" w:rsidP="00230E00">
      <w:pPr>
        <w:spacing w:after="180"/>
        <w:ind w:left="568" w:hanging="284"/>
        <w:jc w:val="left"/>
        <w:rPr>
          <w:rFonts w:cs="Arial"/>
          <w:lang w:eastAsia="ja-JP"/>
        </w:rPr>
      </w:pPr>
      <w:r w:rsidRPr="00230E00">
        <w:rPr>
          <w:rFonts w:cs="Arial"/>
          <w:lang w:eastAsia="ja-JP"/>
        </w:rPr>
        <w:t>4./4a. The gNB continues the reestablishment of the RRC connection. The message is sent on SRB1.</w:t>
      </w:r>
    </w:p>
    <w:p w14:paraId="6135072D" w14:textId="77777777" w:rsidR="00230E00" w:rsidRPr="00230E00" w:rsidRDefault="00230E00" w:rsidP="00230E00">
      <w:pPr>
        <w:spacing w:after="180"/>
        <w:ind w:left="568" w:hanging="284"/>
        <w:jc w:val="left"/>
        <w:rPr>
          <w:rFonts w:cs="Arial"/>
          <w:lang w:eastAsia="ja-JP"/>
        </w:rPr>
      </w:pPr>
      <w:r w:rsidRPr="00230E00">
        <w:rPr>
          <w:rFonts w:cs="Arial"/>
          <w:lang w:eastAsia="ja-JP"/>
        </w:rPr>
        <w:t>5./5a. The gNB may perform the reconfiguration to re-establish SRB2 and DRBs when the reestablishment procedure is ongoing.</w:t>
      </w:r>
    </w:p>
    <w:p w14:paraId="4A6140B5" w14:textId="77777777" w:rsidR="00230E00" w:rsidRPr="00230E00" w:rsidRDefault="00230E00" w:rsidP="00230E00">
      <w:pPr>
        <w:spacing w:after="180"/>
        <w:ind w:left="568" w:hanging="284"/>
        <w:jc w:val="left"/>
        <w:rPr>
          <w:rFonts w:cs="Arial"/>
          <w:lang w:eastAsia="ja-JP"/>
        </w:rPr>
      </w:pPr>
      <w:r w:rsidRPr="00230E00">
        <w:rPr>
          <w:rFonts w:cs="Arial"/>
          <w:lang w:eastAsia="ja-JP"/>
        </w:rPr>
        <w:t>6.</w:t>
      </w:r>
      <w:r w:rsidRPr="00230E00">
        <w:rPr>
          <w:rFonts w:cs="Arial"/>
          <w:lang w:eastAsia="ja-JP"/>
        </w:rPr>
        <w:tab/>
        <w:t>If loss of DL user data buffered in the last serving gNB shall be prevented, the gNB provides forwarding addresses.</w:t>
      </w:r>
    </w:p>
    <w:p w14:paraId="0FFC4729" w14:textId="77777777" w:rsidR="00230E00" w:rsidRPr="00230E00" w:rsidRDefault="00230E00" w:rsidP="00230E00">
      <w:pPr>
        <w:spacing w:after="180"/>
        <w:ind w:left="568" w:hanging="284"/>
        <w:jc w:val="left"/>
        <w:rPr>
          <w:rFonts w:cs="Arial"/>
          <w:lang w:eastAsia="ja-JP"/>
        </w:rPr>
      </w:pPr>
      <w:r w:rsidRPr="00230E00">
        <w:rPr>
          <w:rFonts w:cs="Arial"/>
          <w:lang w:eastAsia="ja-JP"/>
        </w:rPr>
        <w:t>7./8. The gNB performs path switch.</w:t>
      </w:r>
    </w:p>
    <w:p w14:paraId="5C42967B" w14:textId="77777777" w:rsidR="00230E00" w:rsidRPr="00230E00" w:rsidRDefault="00230E00" w:rsidP="00230E00">
      <w:pPr>
        <w:spacing w:after="180"/>
        <w:ind w:left="568" w:hanging="284"/>
        <w:jc w:val="left"/>
        <w:rPr>
          <w:rFonts w:cs="Arial"/>
          <w:lang w:eastAsia="ja-JP"/>
        </w:rPr>
      </w:pPr>
      <w:r w:rsidRPr="00230E00">
        <w:rPr>
          <w:rFonts w:cs="Arial"/>
          <w:lang w:eastAsia="ja-JP"/>
        </w:rPr>
        <w:t>9.</w:t>
      </w:r>
      <w:r w:rsidRPr="00230E00">
        <w:rPr>
          <w:rFonts w:cs="Arial"/>
          <w:lang w:eastAsia="ja-JP"/>
        </w:rPr>
        <w:tab/>
        <w:t>The gNB triggers the release of the UE resources at the last serving gNB.</w:t>
      </w:r>
    </w:p>
    <w:p w14:paraId="3FFC9E13" w14:textId="77777777" w:rsidR="00230E00" w:rsidRDefault="00230E00" w:rsidP="001D0512"/>
    <w:p w14:paraId="1977F00D" w14:textId="76BAA9A1" w:rsidR="00230E00" w:rsidRDefault="00230E00" w:rsidP="00FB208E">
      <w:pPr>
        <w:spacing w:after="0"/>
        <w:rPr>
          <w:bCs/>
        </w:rPr>
      </w:pPr>
      <w:r>
        <w:rPr>
          <w:bCs/>
        </w:rPr>
        <w:t xml:space="preserve">In our view, enhancements to the re-establishment procedure in EUTRA, aiming to improve the recovery of mobility failure, should start by revisiting the enhancements introduced in NR. That seems a natural step at least for 5GC, where most of the enhancements related to connection control procedure adopted to NR have also been adopted. As from a RAN perspective the solutions are rather similar, the introduction to these enhancements to EPC should also be discussed. </w:t>
      </w:r>
    </w:p>
    <w:p w14:paraId="2ABA6A8E" w14:textId="40F4AB54" w:rsidR="00465694" w:rsidRDefault="00465694" w:rsidP="00465694">
      <w:pPr>
        <w:spacing w:after="0"/>
        <w:rPr>
          <w:bCs/>
        </w:rPr>
      </w:pPr>
    </w:p>
    <w:p w14:paraId="4E4AF439" w14:textId="5347D10A" w:rsidR="002A0F1F" w:rsidRDefault="00230E00" w:rsidP="002A0F1F">
      <w:pPr>
        <w:pStyle w:val="Proposal"/>
      </w:pPr>
      <w:r>
        <w:t>Discuss the introduction of the potential enhancements to the re-establishment procedure</w:t>
      </w:r>
      <w:r w:rsidR="000C5EB8">
        <w:t xml:space="preserve"> to speed up the handover failure recovery</w:t>
      </w:r>
      <w:r w:rsidR="00BD130E">
        <w:t>:</w:t>
      </w:r>
    </w:p>
    <w:p w14:paraId="68D8BE84" w14:textId="1F97688C" w:rsidR="002A0F1F" w:rsidRPr="00E025F3" w:rsidRDefault="00230E00" w:rsidP="00230E00">
      <w:pPr>
        <w:pStyle w:val="Proposal"/>
        <w:numPr>
          <w:ilvl w:val="2"/>
          <w:numId w:val="3"/>
        </w:numPr>
        <w:rPr>
          <w:rFonts w:cs="Arial"/>
        </w:rPr>
      </w:pPr>
      <w:r w:rsidRPr="00230E00">
        <w:rPr>
          <w:rFonts w:cs="Arial"/>
          <w:i/>
        </w:rPr>
        <w:t>RRCConnectionReestablishment</w:t>
      </w:r>
      <w:r>
        <w:rPr>
          <w:rFonts w:cs="Arial"/>
          <w:i/>
        </w:rPr>
        <w:t xml:space="preserve"> </w:t>
      </w:r>
      <w:r w:rsidRPr="00230E00">
        <w:rPr>
          <w:rFonts w:cs="Arial"/>
        </w:rPr>
        <w:t>on SRB1</w:t>
      </w:r>
      <w:r>
        <w:rPr>
          <w:rFonts w:cs="Arial"/>
        </w:rPr>
        <w:t>;</w:t>
      </w:r>
    </w:p>
    <w:p w14:paraId="5472C7C6" w14:textId="2EC49833" w:rsidR="00230E00" w:rsidRDefault="00230E00" w:rsidP="00230E00">
      <w:pPr>
        <w:pStyle w:val="Proposal"/>
        <w:numPr>
          <w:ilvl w:val="2"/>
          <w:numId w:val="3"/>
        </w:numPr>
        <w:rPr>
          <w:rFonts w:cs="Arial"/>
        </w:rPr>
      </w:pPr>
      <w:r w:rsidRPr="00230E00">
        <w:rPr>
          <w:rFonts w:cs="Arial"/>
          <w:i/>
        </w:rPr>
        <w:t>RRC</w:t>
      </w:r>
      <w:r>
        <w:rPr>
          <w:rFonts w:cs="Arial"/>
          <w:i/>
        </w:rPr>
        <w:t>Connection</w:t>
      </w:r>
      <w:r w:rsidRPr="00230E00">
        <w:rPr>
          <w:rFonts w:cs="Arial"/>
          <w:i/>
        </w:rPr>
        <w:t>Setup</w:t>
      </w:r>
      <w:r w:rsidRPr="00230E00">
        <w:rPr>
          <w:rFonts w:cs="Arial"/>
        </w:rPr>
        <w:t xml:space="preserve"> in response to </w:t>
      </w:r>
      <w:r w:rsidRPr="00230E00">
        <w:rPr>
          <w:rFonts w:cs="Arial"/>
          <w:i/>
        </w:rPr>
        <w:t>RRCReestablishmentRequest</w:t>
      </w:r>
      <w:r>
        <w:rPr>
          <w:rFonts w:cs="Arial"/>
        </w:rPr>
        <w:t>;</w:t>
      </w:r>
    </w:p>
    <w:p w14:paraId="1EE3FA60" w14:textId="71CA02BC" w:rsidR="00F61634" w:rsidRDefault="00F61634" w:rsidP="00030A43">
      <w:pPr>
        <w:spacing w:after="0"/>
        <w:rPr>
          <w:bCs/>
        </w:rPr>
      </w:pPr>
    </w:p>
    <w:p w14:paraId="24F664C2" w14:textId="77777777" w:rsidR="002A4F4E" w:rsidRPr="004F506B" w:rsidRDefault="002A4F4E" w:rsidP="002A4F4E">
      <w:pPr>
        <w:pStyle w:val="Heading1"/>
      </w:pPr>
      <w:r w:rsidRPr="004F506B">
        <w:lastRenderedPageBreak/>
        <w:t>Conclusion</w:t>
      </w:r>
    </w:p>
    <w:p w14:paraId="182CC7FB" w14:textId="77777777" w:rsidR="000D3D8A" w:rsidRDefault="000C2342" w:rsidP="007C603F">
      <w:pPr>
        <w:pStyle w:val="BodyText"/>
      </w:pPr>
      <w:r w:rsidRPr="004F506B">
        <w:t xml:space="preserve">Based on the discussion in section </w:t>
      </w:r>
      <w:r w:rsidRPr="004F506B">
        <w:rPr>
          <w:highlight w:val="cyan"/>
        </w:rPr>
        <w:fldChar w:fldCharType="begin"/>
      </w:r>
      <w:r w:rsidRPr="004F506B">
        <w:instrText xml:space="preserve"> REF _Ref178064866 \r \h </w:instrText>
      </w:r>
      <w:r w:rsidRPr="004F506B">
        <w:rPr>
          <w:highlight w:val="cyan"/>
        </w:rPr>
      </w:r>
      <w:r w:rsidRPr="004F506B">
        <w:rPr>
          <w:highlight w:val="cyan"/>
        </w:rPr>
        <w:fldChar w:fldCharType="separate"/>
      </w:r>
      <w:r w:rsidR="00887C23">
        <w:t>2</w:t>
      </w:r>
      <w:r w:rsidRPr="004F506B">
        <w:rPr>
          <w:highlight w:val="cyan"/>
        </w:rPr>
        <w:fldChar w:fldCharType="end"/>
      </w:r>
      <w:r w:rsidRPr="004F506B">
        <w:t xml:space="preserve"> we propose the following:</w:t>
      </w:r>
    </w:p>
    <w:p w14:paraId="36F64445" w14:textId="1947C96C" w:rsidR="00230E00" w:rsidRDefault="00230E00" w:rsidP="00230E00">
      <w:pPr>
        <w:pStyle w:val="Proposal"/>
        <w:numPr>
          <w:ilvl w:val="0"/>
          <w:numId w:val="24"/>
        </w:numPr>
        <w:tabs>
          <w:tab w:val="clear" w:pos="1304"/>
          <w:tab w:val="clear" w:pos="1701"/>
          <w:tab w:val="num" w:pos="1710"/>
        </w:tabs>
        <w:ind w:left="1710" w:hanging="1710"/>
      </w:pPr>
      <w:r>
        <w:t>Discuss the introduction of the potential enhancements to the re-establishment procedure</w:t>
      </w:r>
      <w:r w:rsidR="000C5EB8">
        <w:t xml:space="preserve"> to speed up the handover failure recovery</w:t>
      </w:r>
      <w:r>
        <w:t>:</w:t>
      </w:r>
    </w:p>
    <w:p w14:paraId="20A5E668" w14:textId="77777777" w:rsidR="00230E00" w:rsidRPr="00E025F3" w:rsidRDefault="00230E00" w:rsidP="00230E00">
      <w:pPr>
        <w:pStyle w:val="Proposal"/>
        <w:numPr>
          <w:ilvl w:val="2"/>
          <w:numId w:val="3"/>
        </w:numPr>
        <w:rPr>
          <w:rFonts w:cs="Arial"/>
        </w:rPr>
      </w:pPr>
      <w:r w:rsidRPr="00230E00">
        <w:rPr>
          <w:rFonts w:cs="Arial"/>
          <w:i/>
        </w:rPr>
        <w:t>RRCConnectionReestablishment</w:t>
      </w:r>
      <w:r>
        <w:rPr>
          <w:rFonts w:cs="Arial"/>
          <w:i/>
        </w:rPr>
        <w:t xml:space="preserve"> </w:t>
      </w:r>
      <w:r w:rsidRPr="00230E00">
        <w:rPr>
          <w:rFonts w:cs="Arial"/>
        </w:rPr>
        <w:t>on SRB1</w:t>
      </w:r>
      <w:r>
        <w:rPr>
          <w:rFonts w:cs="Arial"/>
        </w:rPr>
        <w:t>;</w:t>
      </w:r>
    </w:p>
    <w:p w14:paraId="241439B3" w14:textId="46D2BFF8" w:rsidR="00230E00" w:rsidRPr="000C5EB8" w:rsidRDefault="00230E00" w:rsidP="000C5EB8">
      <w:pPr>
        <w:pStyle w:val="Proposal"/>
        <w:numPr>
          <w:ilvl w:val="2"/>
          <w:numId w:val="3"/>
        </w:numPr>
        <w:rPr>
          <w:rFonts w:cs="Arial"/>
        </w:rPr>
      </w:pPr>
      <w:r w:rsidRPr="00230E00">
        <w:rPr>
          <w:rFonts w:cs="Arial"/>
          <w:i/>
        </w:rPr>
        <w:t>RRC</w:t>
      </w:r>
      <w:r>
        <w:rPr>
          <w:rFonts w:cs="Arial"/>
          <w:i/>
        </w:rPr>
        <w:t>Connection</w:t>
      </w:r>
      <w:r w:rsidRPr="00230E00">
        <w:rPr>
          <w:rFonts w:cs="Arial"/>
          <w:i/>
        </w:rPr>
        <w:t>Setup</w:t>
      </w:r>
      <w:r w:rsidRPr="00230E00">
        <w:rPr>
          <w:rFonts w:cs="Arial"/>
        </w:rPr>
        <w:t xml:space="preserve"> in response to </w:t>
      </w:r>
      <w:r w:rsidRPr="00230E00">
        <w:rPr>
          <w:rFonts w:cs="Arial"/>
          <w:i/>
        </w:rPr>
        <w:t>RRCReestablishmentRequest</w:t>
      </w:r>
      <w:r>
        <w:rPr>
          <w:rFonts w:cs="Arial"/>
        </w:rPr>
        <w:t>;</w:t>
      </w:r>
    </w:p>
    <w:p w14:paraId="60A02B2B" w14:textId="72CE8191" w:rsidR="00B72C6B" w:rsidRPr="004F506B" w:rsidRDefault="00B72C6B" w:rsidP="00AB02A3">
      <w:pPr>
        <w:pStyle w:val="Heading1"/>
        <w:rPr>
          <w:rFonts w:eastAsiaTheme="minorEastAsia"/>
          <w:lang w:eastAsia="en-US"/>
        </w:rPr>
      </w:pPr>
      <w:r w:rsidRPr="004F506B">
        <w:rPr>
          <w:rFonts w:eastAsiaTheme="minorEastAsia"/>
          <w:lang w:eastAsia="en-US"/>
        </w:rPr>
        <w:t>References</w:t>
      </w:r>
    </w:p>
    <w:p w14:paraId="5E38B431" w14:textId="48B79B62" w:rsidR="001733F9" w:rsidRPr="004B0B27" w:rsidRDefault="003149C6" w:rsidP="00465694">
      <w:pPr>
        <w:pStyle w:val="Reference"/>
      </w:pPr>
      <w:r w:rsidRPr="003149C6">
        <w:t>RP-181544</w:t>
      </w:r>
      <w:r>
        <w:t xml:space="preserve">, </w:t>
      </w:r>
      <w:r w:rsidRPr="003149C6">
        <w:t>Even further mobility enhancement in E-UTRAN</w:t>
      </w:r>
      <w:r>
        <w:t xml:space="preserve">, China Unicom, </w:t>
      </w:r>
      <w:r w:rsidR="004B0B27">
        <w:t>3GPP TSG-RAN Meeting #</w:t>
      </w:r>
      <w:r w:rsidR="00C25DA8">
        <w:t>81</w:t>
      </w:r>
      <w:r w:rsidR="004B0B27">
        <w:t>,</w:t>
      </w:r>
      <w:r w:rsidR="00465694">
        <w:t xml:space="preserve"> </w:t>
      </w:r>
      <w:r w:rsidR="00C25DA8">
        <w:t>Gold Coast, Australia, September 10-13, 2018</w:t>
      </w:r>
      <w:r w:rsidR="00465694">
        <w:t>.</w:t>
      </w:r>
    </w:p>
    <w:p w14:paraId="222CB246" w14:textId="0BE0CB44" w:rsidR="00E46ED3" w:rsidRPr="00D21B3E" w:rsidRDefault="00CB1976" w:rsidP="00CB1976">
      <w:pPr>
        <w:pStyle w:val="Reference"/>
      </w:pPr>
      <w:r w:rsidRPr="00CB1976">
        <w:t>R2-1814317</w:t>
      </w:r>
      <w:r w:rsidR="00B77E14">
        <w:t xml:space="preserve">, </w:t>
      </w:r>
      <w:r w:rsidR="00B77E14" w:rsidRPr="00A8455C">
        <w:t>Overview on mobility robustness enhancements in LTE</w:t>
      </w:r>
      <w:r w:rsidR="00B77E14">
        <w:t>, 3GPP TSG-RAN WG2#103bis, Ericsson, Chengdu, China, 8th – 12th October 2018.</w:t>
      </w:r>
    </w:p>
    <w:sectPr w:rsidR="00E46ED3" w:rsidRPr="00D21B3E">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DA7097" w14:textId="77777777" w:rsidR="001C387B" w:rsidRDefault="001C387B">
      <w:r>
        <w:separator/>
      </w:r>
    </w:p>
  </w:endnote>
  <w:endnote w:type="continuationSeparator" w:id="0">
    <w:p w14:paraId="45629085" w14:textId="77777777" w:rsidR="001C387B" w:rsidRDefault="001C387B">
      <w:r>
        <w:continuationSeparator/>
      </w:r>
    </w:p>
  </w:endnote>
  <w:endnote w:type="continuationNotice" w:id="1">
    <w:p w14:paraId="0002E35E" w14:textId="77777777" w:rsidR="001C387B" w:rsidRDefault="001C38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73963F99" w:rsidR="00030A43" w:rsidRDefault="00030A4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32F857" w14:textId="77777777" w:rsidR="001C387B" w:rsidRDefault="001C387B">
      <w:r>
        <w:separator/>
      </w:r>
    </w:p>
  </w:footnote>
  <w:footnote w:type="continuationSeparator" w:id="0">
    <w:p w14:paraId="0EB54F2A" w14:textId="77777777" w:rsidR="001C387B" w:rsidRDefault="001C387B">
      <w:r>
        <w:continuationSeparator/>
      </w:r>
    </w:p>
  </w:footnote>
  <w:footnote w:type="continuationNotice" w:id="1">
    <w:p w14:paraId="197761BC" w14:textId="77777777" w:rsidR="001C387B" w:rsidRDefault="001C38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030A43" w:rsidRDefault="00030A4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5970AE0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6F8AA20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394FA5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9EA0A85"/>
    <w:multiLevelType w:val="hybridMultilevel"/>
    <w:tmpl w:val="38766086"/>
    <w:lvl w:ilvl="0" w:tplc="017A19CE">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2B1439C"/>
    <w:multiLevelType w:val="hybridMultilevel"/>
    <w:tmpl w:val="AD24EB1C"/>
    <w:lvl w:ilvl="0" w:tplc="31D88ECC">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781859"/>
    <w:multiLevelType w:val="hybridMultilevel"/>
    <w:tmpl w:val="8294C6FC"/>
    <w:lvl w:ilvl="0" w:tplc="6BB6A64A">
      <w:start w:val="1"/>
      <w:numFmt w:val="bullet"/>
      <w:lvlText w:val="•"/>
      <w:lvlJc w:val="left"/>
      <w:pPr>
        <w:tabs>
          <w:tab w:val="num" w:pos="720"/>
        </w:tabs>
        <w:ind w:left="720" w:hanging="360"/>
      </w:pPr>
      <w:rPr>
        <w:rFonts w:ascii="Arial" w:hAnsi="Arial" w:hint="default"/>
      </w:rPr>
    </w:lvl>
    <w:lvl w:ilvl="1" w:tplc="13C020C6">
      <w:start w:val="36"/>
      <w:numFmt w:val="bullet"/>
      <w:lvlText w:val="•"/>
      <w:lvlJc w:val="left"/>
      <w:pPr>
        <w:tabs>
          <w:tab w:val="num" w:pos="1440"/>
        </w:tabs>
        <w:ind w:left="1440" w:hanging="360"/>
      </w:pPr>
      <w:rPr>
        <w:rFonts w:ascii="Arial" w:hAnsi="Arial" w:hint="default"/>
      </w:rPr>
    </w:lvl>
    <w:lvl w:ilvl="2" w:tplc="A16C4F1A" w:tentative="1">
      <w:start w:val="1"/>
      <w:numFmt w:val="bullet"/>
      <w:lvlText w:val="•"/>
      <w:lvlJc w:val="left"/>
      <w:pPr>
        <w:tabs>
          <w:tab w:val="num" w:pos="2160"/>
        </w:tabs>
        <w:ind w:left="2160" w:hanging="360"/>
      </w:pPr>
      <w:rPr>
        <w:rFonts w:ascii="Arial" w:hAnsi="Arial" w:hint="default"/>
      </w:rPr>
    </w:lvl>
    <w:lvl w:ilvl="3" w:tplc="F448EDAE" w:tentative="1">
      <w:start w:val="1"/>
      <w:numFmt w:val="bullet"/>
      <w:lvlText w:val="•"/>
      <w:lvlJc w:val="left"/>
      <w:pPr>
        <w:tabs>
          <w:tab w:val="num" w:pos="2880"/>
        </w:tabs>
        <w:ind w:left="2880" w:hanging="360"/>
      </w:pPr>
      <w:rPr>
        <w:rFonts w:ascii="Arial" w:hAnsi="Arial" w:hint="default"/>
      </w:rPr>
    </w:lvl>
    <w:lvl w:ilvl="4" w:tplc="D79630EE" w:tentative="1">
      <w:start w:val="1"/>
      <w:numFmt w:val="bullet"/>
      <w:lvlText w:val="•"/>
      <w:lvlJc w:val="left"/>
      <w:pPr>
        <w:tabs>
          <w:tab w:val="num" w:pos="3600"/>
        </w:tabs>
        <w:ind w:left="3600" w:hanging="360"/>
      </w:pPr>
      <w:rPr>
        <w:rFonts w:ascii="Arial" w:hAnsi="Arial" w:hint="default"/>
      </w:rPr>
    </w:lvl>
    <w:lvl w:ilvl="5" w:tplc="AA26F3BE" w:tentative="1">
      <w:start w:val="1"/>
      <w:numFmt w:val="bullet"/>
      <w:lvlText w:val="•"/>
      <w:lvlJc w:val="left"/>
      <w:pPr>
        <w:tabs>
          <w:tab w:val="num" w:pos="4320"/>
        </w:tabs>
        <w:ind w:left="4320" w:hanging="360"/>
      </w:pPr>
      <w:rPr>
        <w:rFonts w:ascii="Arial" w:hAnsi="Arial" w:hint="default"/>
      </w:rPr>
    </w:lvl>
    <w:lvl w:ilvl="6" w:tplc="79948AA6" w:tentative="1">
      <w:start w:val="1"/>
      <w:numFmt w:val="bullet"/>
      <w:lvlText w:val="•"/>
      <w:lvlJc w:val="left"/>
      <w:pPr>
        <w:tabs>
          <w:tab w:val="num" w:pos="5040"/>
        </w:tabs>
        <w:ind w:left="5040" w:hanging="360"/>
      </w:pPr>
      <w:rPr>
        <w:rFonts w:ascii="Arial" w:hAnsi="Arial" w:hint="default"/>
      </w:rPr>
    </w:lvl>
    <w:lvl w:ilvl="7" w:tplc="A380F4B4" w:tentative="1">
      <w:start w:val="1"/>
      <w:numFmt w:val="bullet"/>
      <w:lvlText w:val="•"/>
      <w:lvlJc w:val="left"/>
      <w:pPr>
        <w:tabs>
          <w:tab w:val="num" w:pos="5760"/>
        </w:tabs>
        <w:ind w:left="5760" w:hanging="360"/>
      </w:pPr>
      <w:rPr>
        <w:rFonts w:ascii="Arial" w:hAnsi="Arial" w:hint="default"/>
      </w:rPr>
    </w:lvl>
    <w:lvl w:ilvl="8" w:tplc="366C5C6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9120F8"/>
    <w:multiLevelType w:val="hybridMultilevel"/>
    <w:tmpl w:val="C742D4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BE03E7"/>
    <w:multiLevelType w:val="hybridMultilevel"/>
    <w:tmpl w:val="6F1638BC"/>
    <w:lvl w:ilvl="0" w:tplc="064287B4">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7007664"/>
    <w:multiLevelType w:val="hybridMultilevel"/>
    <w:tmpl w:val="52B8D0A0"/>
    <w:lvl w:ilvl="0" w:tplc="EF5AF1A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AC4D50"/>
    <w:multiLevelType w:val="hybridMultilevel"/>
    <w:tmpl w:val="75AA63C8"/>
    <w:lvl w:ilvl="0" w:tplc="5FB40F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65842"/>
    <w:multiLevelType w:val="hybridMultilevel"/>
    <w:tmpl w:val="A8F2C284"/>
    <w:lvl w:ilvl="0" w:tplc="9A5E862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665C0C"/>
    <w:multiLevelType w:val="hybridMultilevel"/>
    <w:tmpl w:val="C11037C0"/>
    <w:lvl w:ilvl="0" w:tplc="AEDE31B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CB5EF5"/>
    <w:multiLevelType w:val="hybridMultilevel"/>
    <w:tmpl w:val="2844275A"/>
    <w:lvl w:ilvl="0" w:tplc="ACEEDA4C">
      <w:start w:val="1"/>
      <w:numFmt w:val="decimal"/>
      <w:lvlText w:val="%1&gt;"/>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33668F"/>
    <w:multiLevelType w:val="hybridMultilevel"/>
    <w:tmpl w:val="6C9AD3CE"/>
    <w:lvl w:ilvl="0" w:tplc="53FE916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FCD3FFC"/>
    <w:multiLevelType w:val="hybridMultilevel"/>
    <w:tmpl w:val="CD607F2C"/>
    <w:lvl w:ilvl="0" w:tplc="0088E2C2">
      <w:start w:val="6"/>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5"/>
  </w:num>
  <w:num w:numId="3">
    <w:abstractNumId w:val="19"/>
  </w:num>
  <w:num w:numId="4">
    <w:abstractNumId w:val="21"/>
  </w:num>
  <w:num w:numId="5">
    <w:abstractNumId w:val="16"/>
  </w:num>
  <w:num w:numId="6">
    <w:abstractNumId w:val="22"/>
  </w:num>
  <w:num w:numId="7">
    <w:abstractNumId w:val="29"/>
  </w:num>
  <w:num w:numId="8">
    <w:abstractNumId w:val="17"/>
  </w:num>
  <w:num w:numId="9">
    <w:abstractNumId w:val="14"/>
  </w:num>
  <w:num w:numId="10">
    <w:abstractNumId w:val="3"/>
  </w:num>
  <w:num w:numId="11">
    <w:abstractNumId w:val="2"/>
  </w:num>
  <w:num w:numId="12">
    <w:abstractNumId w:val="1"/>
  </w:num>
  <w:num w:numId="13">
    <w:abstractNumId w:val="28"/>
  </w:num>
  <w:num w:numId="14">
    <w:abstractNumId w:val="0"/>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lvlOverride w:ilvl="0">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24"/>
  </w:num>
  <w:num w:numId="21">
    <w:abstractNumId w:val="10"/>
  </w:num>
  <w:num w:numId="22">
    <w:abstractNumId w:val="27"/>
  </w:num>
  <w:num w:numId="23">
    <w:abstractNumId w:val="6"/>
  </w:num>
  <w:num w:numId="24">
    <w:abstractNumId w:val="19"/>
    <w:lvlOverride w:ilvl="0">
      <w:startOverride w:val="1"/>
    </w:lvlOverride>
  </w:num>
  <w:num w:numId="25">
    <w:abstractNumId w:val="30"/>
  </w:num>
  <w:num w:numId="26">
    <w:abstractNumId w:val="23"/>
  </w:num>
  <w:num w:numId="27">
    <w:abstractNumId w:val="11"/>
  </w:num>
  <w:num w:numId="28">
    <w:abstractNumId w:val="7"/>
  </w:num>
  <w:num w:numId="29">
    <w:abstractNumId w:val="8"/>
  </w:num>
  <w:num w:numId="30">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2"/>
  </w:num>
  <w:num w:numId="32">
    <w:abstractNumId w:val="13"/>
  </w:num>
  <w:num w:numId="33">
    <w:abstractNumId w:val="9"/>
  </w:num>
  <w:num w:numId="34">
    <w:abstractNumId w:val="31"/>
  </w:num>
  <w:num w:numId="35">
    <w:abstractNumId w:val="15"/>
  </w:num>
  <w:num w:numId="36">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zc1sLQ0NDAzNDMys7RU0lEKTi0uzszPAykwrAUABp1p0iwAAAA="/>
  </w:docVars>
  <w:rsids>
    <w:rsidRoot w:val="00B42BDB"/>
    <w:rsid w:val="000006E1"/>
    <w:rsid w:val="00000B44"/>
    <w:rsid w:val="00002A37"/>
    <w:rsid w:val="00006446"/>
    <w:rsid w:val="00006818"/>
    <w:rsid w:val="00006896"/>
    <w:rsid w:val="00006B58"/>
    <w:rsid w:val="00007B89"/>
    <w:rsid w:val="00007CDC"/>
    <w:rsid w:val="000100F7"/>
    <w:rsid w:val="000102F9"/>
    <w:rsid w:val="00010658"/>
    <w:rsid w:val="00010CE7"/>
    <w:rsid w:val="00011895"/>
    <w:rsid w:val="00011B28"/>
    <w:rsid w:val="00014BCD"/>
    <w:rsid w:val="00015D15"/>
    <w:rsid w:val="0001619D"/>
    <w:rsid w:val="00024358"/>
    <w:rsid w:val="0002564D"/>
    <w:rsid w:val="00025ECA"/>
    <w:rsid w:val="00026A69"/>
    <w:rsid w:val="00027939"/>
    <w:rsid w:val="00030A43"/>
    <w:rsid w:val="00030A97"/>
    <w:rsid w:val="00031C7C"/>
    <w:rsid w:val="00031CA1"/>
    <w:rsid w:val="000325B8"/>
    <w:rsid w:val="00032C93"/>
    <w:rsid w:val="00033C0A"/>
    <w:rsid w:val="00034C15"/>
    <w:rsid w:val="00035DEC"/>
    <w:rsid w:val="00036BA1"/>
    <w:rsid w:val="000422E2"/>
    <w:rsid w:val="00042F22"/>
    <w:rsid w:val="00044107"/>
    <w:rsid w:val="000442AC"/>
    <w:rsid w:val="000444EF"/>
    <w:rsid w:val="000529F0"/>
    <w:rsid w:val="00052A07"/>
    <w:rsid w:val="00052F7F"/>
    <w:rsid w:val="000534E3"/>
    <w:rsid w:val="00053C8C"/>
    <w:rsid w:val="0005606A"/>
    <w:rsid w:val="00057117"/>
    <w:rsid w:val="0005777F"/>
    <w:rsid w:val="000616E7"/>
    <w:rsid w:val="000635F5"/>
    <w:rsid w:val="0006408C"/>
    <w:rsid w:val="0006487E"/>
    <w:rsid w:val="00064B7B"/>
    <w:rsid w:val="00065E1A"/>
    <w:rsid w:val="00070160"/>
    <w:rsid w:val="00070ECA"/>
    <w:rsid w:val="0007117B"/>
    <w:rsid w:val="00071B39"/>
    <w:rsid w:val="000742A3"/>
    <w:rsid w:val="000744EF"/>
    <w:rsid w:val="00075393"/>
    <w:rsid w:val="00077E5F"/>
    <w:rsid w:val="00077F8A"/>
    <w:rsid w:val="0008036A"/>
    <w:rsid w:val="00081AE6"/>
    <w:rsid w:val="00083B97"/>
    <w:rsid w:val="000855EB"/>
    <w:rsid w:val="00085B52"/>
    <w:rsid w:val="000866F2"/>
    <w:rsid w:val="00086C5D"/>
    <w:rsid w:val="00087350"/>
    <w:rsid w:val="0009009F"/>
    <w:rsid w:val="00091557"/>
    <w:rsid w:val="000924C1"/>
    <w:rsid w:val="000924F0"/>
    <w:rsid w:val="00093474"/>
    <w:rsid w:val="00093D6B"/>
    <w:rsid w:val="000944FD"/>
    <w:rsid w:val="0009506F"/>
    <w:rsid w:val="0009510F"/>
    <w:rsid w:val="00096B28"/>
    <w:rsid w:val="000A15A8"/>
    <w:rsid w:val="000A178D"/>
    <w:rsid w:val="000A1B7B"/>
    <w:rsid w:val="000A2946"/>
    <w:rsid w:val="000A4FBD"/>
    <w:rsid w:val="000A56F2"/>
    <w:rsid w:val="000A58B2"/>
    <w:rsid w:val="000A7B14"/>
    <w:rsid w:val="000B011B"/>
    <w:rsid w:val="000B2719"/>
    <w:rsid w:val="000B3A8F"/>
    <w:rsid w:val="000B42CC"/>
    <w:rsid w:val="000B4AB9"/>
    <w:rsid w:val="000B4D0F"/>
    <w:rsid w:val="000B58C3"/>
    <w:rsid w:val="000B61E9"/>
    <w:rsid w:val="000B7102"/>
    <w:rsid w:val="000B7924"/>
    <w:rsid w:val="000C165A"/>
    <w:rsid w:val="000C1859"/>
    <w:rsid w:val="000C1BC7"/>
    <w:rsid w:val="000C2342"/>
    <w:rsid w:val="000C2A3B"/>
    <w:rsid w:val="000C2E19"/>
    <w:rsid w:val="000C4503"/>
    <w:rsid w:val="000C5EB8"/>
    <w:rsid w:val="000D0D07"/>
    <w:rsid w:val="000D3305"/>
    <w:rsid w:val="000D36B0"/>
    <w:rsid w:val="000D37E2"/>
    <w:rsid w:val="000D3D8A"/>
    <w:rsid w:val="000D4797"/>
    <w:rsid w:val="000D4C92"/>
    <w:rsid w:val="000D628B"/>
    <w:rsid w:val="000D694D"/>
    <w:rsid w:val="000E0527"/>
    <w:rsid w:val="000E0834"/>
    <w:rsid w:val="000E1E92"/>
    <w:rsid w:val="000E3279"/>
    <w:rsid w:val="000E3FFD"/>
    <w:rsid w:val="000E725A"/>
    <w:rsid w:val="000E72EE"/>
    <w:rsid w:val="000E7818"/>
    <w:rsid w:val="000F06D6"/>
    <w:rsid w:val="000F0EB1"/>
    <w:rsid w:val="000F1106"/>
    <w:rsid w:val="000F3BE9"/>
    <w:rsid w:val="000F3F6C"/>
    <w:rsid w:val="000F646B"/>
    <w:rsid w:val="000F6DF3"/>
    <w:rsid w:val="000F7AA4"/>
    <w:rsid w:val="001005FF"/>
    <w:rsid w:val="00104FF5"/>
    <w:rsid w:val="001062FB"/>
    <w:rsid w:val="001063E6"/>
    <w:rsid w:val="00106CB8"/>
    <w:rsid w:val="00113CF4"/>
    <w:rsid w:val="001153EA"/>
    <w:rsid w:val="0011558D"/>
    <w:rsid w:val="00115643"/>
    <w:rsid w:val="00115997"/>
    <w:rsid w:val="00116765"/>
    <w:rsid w:val="00116933"/>
    <w:rsid w:val="00117A79"/>
    <w:rsid w:val="001205E8"/>
    <w:rsid w:val="00120810"/>
    <w:rsid w:val="0012093F"/>
    <w:rsid w:val="001219F5"/>
    <w:rsid w:val="00121A20"/>
    <w:rsid w:val="00122F2E"/>
    <w:rsid w:val="0012377F"/>
    <w:rsid w:val="00124314"/>
    <w:rsid w:val="00125072"/>
    <w:rsid w:val="00126B4A"/>
    <w:rsid w:val="00130DC5"/>
    <w:rsid w:val="00132583"/>
    <w:rsid w:val="001327C2"/>
    <w:rsid w:val="00132FD0"/>
    <w:rsid w:val="00134435"/>
    <w:rsid w:val="001344C0"/>
    <w:rsid w:val="001346FA"/>
    <w:rsid w:val="00135252"/>
    <w:rsid w:val="00137AB5"/>
    <w:rsid w:val="00137F0B"/>
    <w:rsid w:val="0014226D"/>
    <w:rsid w:val="00143066"/>
    <w:rsid w:val="0014775F"/>
    <w:rsid w:val="00147B50"/>
    <w:rsid w:val="00150B39"/>
    <w:rsid w:val="00151E23"/>
    <w:rsid w:val="001526E0"/>
    <w:rsid w:val="00153117"/>
    <w:rsid w:val="001551B5"/>
    <w:rsid w:val="00156814"/>
    <w:rsid w:val="00157B81"/>
    <w:rsid w:val="001623B2"/>
    <w:rsid w:val="00163E8B"/>
    <w:rsid w:val="001643A8"/>
    <w:rsid w:val="0016578E"/>
    <w:rsid w:val="001659C1"/>
    <w:rsid w:val="001677A6"/>
    <w:rsid w:val="00170F61"/>
    <w:rsid w:val="001733F9"/>
    <w:rsid w:val="00173A8E"/>
    <w:rsid w:val="0017408C"/>
    <w:rsid w:val="00174551"/>
    <w:rsid w:val="00176434"/>
    <w:rsid w:val="00176E0F"/>
    <w:rsid w:val="00177795"/>
    <w:rsid w:val="00177955"/>
    <w:rsid w:val="0018143F"/>
    <w:rsid w:val="00185933"/>
    <w:rsid w:val="00190AC1"/>
    <w:rsid w:val="0019341A"/>
    <w:rsid w:val="00193DBF"/>
    <w:rsid w:val="00197DF9"/>
    <w:rsid w:val="001A0568"/>
    <w:rsid w:val="001A0A88"/>
    <w:rsid w:val="001A1987"/>
    <w:rsid w:val="001A2564"/>
    <w:rsid w:val="001A6173"/>
    <w:rsid w:val="001A6CBA"/>
    <w:rsid w:val="001A6E7E"/>
    <w:rsid w:val="001A7738"/>
    <w:rsid w:val="001B0D97"/>
    <w:rsid w:val="001B13EF"/>
    <w:rsid w:val="001B17E3"/>
    <w:rsid w:val="001B357B"/>
    <w:rsid w:val="001B3E2B"/>
    <w:rsid w:val="001B467E"/>
    <w:rsid w:val="001B5A5D"/>
    <w:rsid w:val="001B5CFB"/>
    <w:rsid w:val="001B7364"/>
    <w:rsid w:val="001C1CE5"/>
    <w:rsid w:val="001C387B"/>
    <w:rsid w:val="001C3D2A"/>
    <w:rsid w:val="001C4E28"/>
    <w:rsid w:val="001C56B6"/>
    <w:rsid w:val="001C5885"/>
    <w:rsid w:val="001C6380"/>
    <w:rsid w:val="001C6495"/>
    <w:rsid w:val="001D0512"/>
    <w:rsid w:val="001D4199"/>
    <w:rsid w:val="001D4921"/>
    <w:rsid w:val="001D51BA"/>
    <w:rsid w:val="001D5922"/>
    <w:rsid w:val="001D6342"/>
    <w:rsid w:val="001D6D53"/>
    <w:rsid w:val="001E053F"/>
    <w:rsid w:val="001E198C"/>
    <w:rsid w:val="001E4602"/>
    <w:rsid w:val="001E4BF9"/>
    <w:rsid w:val="001E58E2"/>
    <w:rsid w:val="001E5BE9"/>
    <w:rsid w:val="001E5E7B"/>
    <w:rsid w:val="001E6C2D"/>
    <w:rsid w:val="001E74E7"/>
    <w:rsid w:val="001E7AED"/>
    <w:rsid w:val="001F0378"/>
    <w:rsid w:val="001F29FE"/>
    <w:rsid w:val="001F38C4"/>
    <w:rsid w:val="001F3916"/>
    <w:rsid w:val="001F54C5"/>
    <w:rsid w:val="001F5D37"/>
    <w:rsid w:val="001F662C"/>
    <w:rsid w:val="001F66E8"/>
    <w:rsid w:val="001F6F63"/>
    <w:rsid w:val="001F7074"/>
    <w:rsid w:val="00200490"/>
    <w:rsid w:val="00200EE2"/>
    <w:rsid w:val="00201F3A"/>
    <w:rsid w:val="00203F96"/>
    <w:rsid w:val="002046A1"/>
    <w:rsid w:val="002050BC"/>
    <w:rsid w:val="002069B2"/>
    <w:rsid w:val="00206C7E"/>
    <w:rsid w:val="00206D10"/>
    <w:rsid w:val="00207CAA"/>
    <w:rsid w:val="00207FA3"/>
    <w:rsid w:val="00212A8D"/>
    <w:rsid w:val="00213035"/>
    <w:rsid w:val="00213ADC"/>
    <w:rsid w:val="0021477A"/>
    <w:rsid w:val="00214DA8"/>
    <w:rsid w:val="00215423"/>
    <w:rsid w:val="002158FA"/>
    <w:rsid w:val="00216823"/>
    <w:rsid w:val="00217EB8"/>
    <w:rsid w:val="00220600"/>
    <w:rsid w:val="002224DB"/>
    <w:rsid w:val="00223FCB"/>
    <w:rsid w:val="002249CC"/>
    <w:rsid w:val="002252C3"/>
    <w:rsid w:val="00225C54"/>
    <w:rsid w:val="0023054E"/>
    <w:rsid w:val="00230765"/>
    <w:rsid w:val="00230BFB"/>
    <w:rsid w:val="00230D68"/>
    <w:rsid w:val="00230E00"/>
    <w:rsid w:val="002319E4"/>
    <w:rsid w:val="00233AFD"/>
    <w:rsid w:val="00234E0C"/>
    <w:rsid w:val="00235632"/>
    <w:rsid w:val="00235872"/>
    <w:rsid w:val="00240EC0"/>
    <w:rsid w:val="00241559"/>
    <w:rsid w:val="002435B3"/>
    <w:rsid w:val="00243B86"/>
    <w:rsid w:val="002441E3"/>
    <w:rsid w:val="00244A3C"/>
    <w:rsid w:val="002458EB"/>
    <w:rsid w:val="00245FE7"/>
    <w:rsid w:val="00247178"/>
    <w:rsid w:val="002500C8"/>
    <w:rsid w:val="00251AF8"/>
    <w:rsid w:val="00252243"/>
    <w:rsid w:val="00252C25"/>
    <w:rsid w:val="0025566B"/>
    <w:rsid w:val="00255BA2"/>
    <w:rsid w:val="00257543"/>
    <w:rsid w:val="00260CBD"/>
    <w:rsid w:val="002617E7"/>
    <w:rsid w:val="00261FC8"/>
    <w:rsid w:val="00262E05"/>
    <w:rsid w:val="00264228"/>
    <w:rsid w:val="00264334"/>
    <w:rsid w:val="0026473E"/>
    <w:rsid w:val="00265AE7"/>
    <w:rsid w:val="00266214"/>
    <w:rsid w:val="00267C83"/>
    <w:rsid w:val="0027144F"/>
    <w:rsid w:val="00271EBF"/>
    <w:rsid w:val="00271F3A"/>
    <w:rsid w:val="00273278"/>
    <w:rsid w:val="002737F4"/>
    <w:rsid w:val="002742A6"/>
    <w:rsid w:val="002752E7"/>
    <w:rsid w:val="002805F5"/>
    <w:rsid w:val="00280751"/>
    <w:rsid w:val="00281EEC"/>
    <w:rsid w:val="0028280A"/>
    <w:rsid w:val="00283030"/>
    <w:rsid w:val="002851E6"/>
    <w:rsid w:val="00285241"/>
    <w:rsid w:val="002854FF"/>
    <w:rsid w:val="00286019"/>
    <w:rsid w:val="00286ACD"/>
    <w:rsid w:val="00287838"/>
    <w:rsid w:val="00290489"/>
    <w:rsid w:val="00290638"/>
    <w:rsid w:val="002907B5"/>
    <w:rsid w:val="00292EB7"/>
    <w:rsid w:val="002959CF"/>
    <w:rsid w:val="00296227"/>
    <w:rsid w:val="00296C5A"/>
    <w:rsid w:val="00296F44"/>
    <w:rsid w:val="0029777D"/>
    <w:rsid w:val="002A00C2"/>
    <w:rsid w:val="002A055E"/>
    <w:rsid w:val="002A0F1F"/>
    <w:rsid w:val="002A1D4E"/>
    <w:rsid w:val="002A2869"/>
    <w:rsid w:val="002A4F4E"/>
    <w:rsid w:val="002A6BE3"/>
    <w:rsid w:val="002B0375"/>
    <w:rsid w:val="002B24D6"/>
    <w:rsid w:val="002B37CC"/>
    <w:rsid w:val="002B4622"/>
    <w:rsid w:val="002B4DB5"/>
    <w:rsid w:val="002B7FDF"/>
    <w:rsid w:val="002C0754"/>
    <w:rsid w:val="002C0A38"/>
    <w:rsid w:val="002C0A90"/>
    <w:rsid w:val="002C1896"/>
    <w:rsid w:val="002C2AB4"/>
    <w:rsid w:val="002C41E6"/>
    <w:rsid w:val="002D071A"/>
    <w:rsid w:val="002D0F3A"/>
    <w:rsid w:val="002D104E"/>
    <w:rsid w:val="002D188B"/>
    <w:rsid w:val="002D2629"/>
    <w:rsid w:val="002D34B2"/>
    <w:rsid w:val="002D4B19"/>
    <w:rsid w:val="002D4F64"/>
    <w:rsid w:val="002D706D"/>
    <w:rsid w:val="002D7637"/>
    <w:rsid w:val="002E17F2"/>
    <w:rsid w:val="002E4079"/>
    <w:rsid w:val="002E4244"/>
    <w:rsid w:val="002E42BD"/>
    <w:rsid w:val="002E6556"/>
    <w:rsid w:val="002E7CAE"/>
    <w:rsid w:val="002F2698"/>
    <w:rsid w:val="002F2771"/>
    <w:rsid w:val="002F37A9"/>
    <w:rsid w:val="002F4C39"/>
    <w:rsid w:val="002F53B5"/>
    <w:rsid w:val="00301CE6"/>
    <w:rsid w:val="003023EA"/>
    <w:rsid w:val="0030256B"/>
    <w:rsid w:val="0030501F"/>
    <w:rsid w:val="00307B53"/>
    <w:rsid w:val="00307BA1"/>
    <w:rsid w:val="003105A7"/>
    <w:rsid w:val="00311702"/>
    <w:rsid w:val="00311E03"/>
    <w:rsid w:val="00311E82"/>
    <w:rsid w:val="00313FD6"/>
    <w:rsid w:val="003143BD"/>
    <w:rsid w:val="003149C6"/>
    <w:rsid w:val="003160AD"/>
    <w:rsid w:val="00317487"/>
    <w:rsid w:val="00317936"/>
    <w:rsid w:val="003179EC"/>
    <w:rsid w:val="00317B01"/>
    <w:rsid w:val="003203ED"/>
    <w:rsid w:val="00321A3A"/>
    <w:rsid w:val="00321A7B"/>
    <w:rsid w:val="00322A9A"/>
    <w:rsid w:val="00322C9F"/>
    <w:rsid w:val="00324092"/>
    <w:rsid w:val="0032487D"/>
    <w:rsid w:val="00324D23"/>
    <w:rsid w:val="0032730B"/>
    <w:rsid w:val="00331751"/>
    <w:rsid w:val="00334545"/>
    <w:rsid w:val="00334579"/>
    <w:rsid w:val="003350CE"/>
    <w:rsid w:val="00335858"/>
    <w:rsid w:val="00336BDA"/>
    <w:rsid w:val="003417C6"/>
    <w:rsid w:val="003429E9"/>
    <w:rsid w:val="00342BD7"/>
    <w:rsid w:val="00343A07"/>
    <w:rsid w:val="003450CB"/>
    <w:rsid w:val="00346DB5"/>
    <w:rsid w:val="003477B1"/>
    <w:rsid w:val="00347922"/>
    <w:rsid w:val="00350E39"/>
    <w:rsid w:val="003540EF"/>
    <w:rsid w:val="0035482C"/>
    <w:rsid w:val="00354F2C"/>
    <w:rsid w:val="00355E4E"/>
    <w:rsid w:val="00356C5D"/>
    <w:rsid w:val="00357380"/>
    <w:rsid w:val="003578A0"/>
    <w:rsid w:val="003602D9"/>
    <w:rsid w:val="003604CE"/>
    <w:rsid w:val="00361143"/>
    <w:rsid w:val="003627E9"/>
    <w:rsid w:val="003635C7"/>
    <w:rsid w:val="00367095"/>
    <w:rsid w:val="00367AA3"/>
    <w:rsid w:val="00367C0F"/>
    <w:rsid w:val="003708B2"/>
    <w:rsid w:val="003709CB"/>
    <w:rsid w:val="00370E47"/>
    <w:rsid w:val="00372199"/>
    <w:rsid w:val="00373D9E"/>
    <w:rsid w:val="003742AC"/>
    <w:rsid w:val="00375E54"/>
    <w:rsid w:val="00377CE1"/>
    <w:rsid w:val="003801BE"/>
    <w:rsid w:val="0038032C"/>
    <w:rsid w:val="00383CEF"/>
    <w:rsid w:val="00384BAF"/>
    <w:rsid w:val="0038577C"/>
    <w:rsid w:val="00385BF0"/>
    <w:rsid w:val="003875CD"/>
    <w:rsid w:val="0039103F"/>
    <w:rsid w:val="00391771"/>
    <w:rsid w:val="00391D38"/>
    <w:rsid w:val="00391F93"/>
    <w:rsid w:val="003936A5"/>
    <w:rsid w:val="003939FF"/>
    <w:rsid w:val="003A2223"/>
    <w:rsid w:val="003A2A0F"/>
    <w:rsid w:val="003A3AD2"/>
    <w:rsid w:val="003A43E7"/>
    <w:rsid w:val="003A45A1"/>
    <w:rsid w:val="003A5B0A"/>
    <w:rsid w:val="003A5C96"/>
    <w:rsid w:val="003A6BAC"/>
    <w:rsid w:val="003A796D"/>
    <w:rsid w:val="003A7E5B"/>
    <w:rsid w:val="003A7EF3"/>
    <w:rsid w:val="003B0535"/>
    <w:rsid w:val="003B0B19"/>
    <w:rsid w:val="003B159C"/>
    <w:rsid w:val="003B18C4"/>
    <w:rsid w:val="003B2947"/>
    <w:rsid w:val="003B369F"/>
    <w:rsid w:val="003B36A3"/>
    <w:rsid w:val="003B7FE5"/>
    <w:rsid w:val="003C11C8"/>
    <w:rsid w:val="003C184C"/>
    <w:rsid w:val="003C2702"/>
    <w:rsid w:val="003C56C7"/>
    <w:rsid w:val="003C723A"/>
    <w:rsid w:val="003C7806"/>
    <w:rsid w:val="003D109F"/>
    <w:rsid w:val="003D1559"/>
    <w:rsid w:val="003D1592"/>
    <w:rsid w:val="003D20D6"/>
    <w:rsid w:val="003D2478"/>
    <w:rsid w:val="003D28CC"/>
    <w:rsid w:val="003D2FC4"/>
    <w:rsid w:val="003D3C45"/>
    <w:rsid w:val="003D582D"/>
    <w:rsid w:val="003D5B1F"/>
    <w:rsid w:val="003D60C7"/>
    <w:rsid w:val="003D6308"/>
    <w:rsid w:val="003E15FA"/>
    <w:rsid w:val="003E1F3D"/>
    <w:rsid w:val="003E21F9"/>
    <w:rsid w:val="003E55E4"/>
    <w:rsid w:val="003E5FB3"/>
    <w:rsid w:val="003E66B6"/>
    <w:rsid w:val="003E74E3"/>
    <w:rsid w:val="003E76C9"/>
    <w:rsid w:val="003E7FB7"/>
    <w:rsid w:val="003F05C7"/>
    <w:rsid w:val="003F0856"/>
    <w:rsid w:val="003F0944"/>
    <w:rsid w:val="003F0F3E"/>
    <w:rsid w:val="003F2CD4"/>
    <w:rsid w:val="003F3108"/>
    <w:rsid w:val="003F463B"/>
    <w:rsid w:val="003F53E4"/>
    <w:rsid w:val="003F5493"/>
    <w:rsid w:val="003F5503"/>
    <w:rsid w:val="003F5FCD"/>
    <w:rsid w:val="003F6AA0"/>
    <w:rsid w:val="003F6BBE"/>
    <w:rsid w:val="004000E8"/>
    <w:rsid w:val="00402E2B"/>
    <w:rsid w:val="004030ED"/>
    <w:rsid w:val="00403A6A"/>
    <w:rsid w:val="00404A20"/>
    <w:rsid w:val="004050E2"/>
    <w:rsid w:val="0040512B"/>
    <w:rsid w:val="004051FC"/>
    <w:rsid w:val="00405CA5"/>
    <w:rsid w:val="00405E96"/>
    <w:rsid w:val="00407CD3"/>
    <w:rsid w:val="00410134"/>
    <w:rsid w:val="00410B72"/>
    <w:rsid w:val="00410D2A"/>
    <w:rsid w:val="00410F18"/>
    <w:rsid w:val="0041263E"/>
    <w:rsid w:val="0041377A"/>
    <w:rsid w:val="00413AAC"/>
    <w:rsid w:val="00413AFF"/>
    <w:rsid w:val="00413DF0"/>
    <w:rsid w:val="0041730D"/>
    <w:rsid w:val="00420D0D"/>
    <w:rsid w:val="00421105"/>
    <w:rsid w:val="00422C99"/>
    <w:rsid w:val="004233BA"/>
    <w:rsid w:val="004242F4"/>
    <w:rsid w:val="00424884"/>
    <w:rsid w:val="004253D5"/>
    <w:rsid w:val="00427248"/>
    <w:rsid w:val="004311E4"/>
    <w:rsid w:val="00431869"/>
    <w:rsid w:val="00437447"/>
    <w:rsid w:val="00441A92"/>
    <w:rsid w:val="00443137"/>
    <w:rsid w:val="00444F56"/>
    <w:rsid w:val="00446488"/>
    <w:rsid w:val="00447145"/>
    <w:rsid w:val="004517AA"/>
    <w:rsid w:val="00452CAC"/>
    <w:rsid w:val="00453E70"/>
    <w:rsid w:val="00457565"/>
    <w:rsid w:val="00457B71"/>
    <w:rsid w:val="00461F34"/>
    <w:rsid w:val="00464093"/>
    <w:rsid w:val="004645ED"/>
    <w:rsid w:val="00465694"/>
    <w:rsid w:val="00465F3A"/>
    <w:rsid w:val="004669E2"/>
    <w:rsid w:val="00466CA4"/>
    <w:rsid w:val="0046700E"/>
    <w:rsid w:val="004676BC"/>
    <w:rsid w:val="00470C31"/>
    <w:rsid w:val="0047141B"/>
    <w:rsid w:val="0047219E"/>
    <w:rsid w:val="004734D0"/>
    <w:rsid w:val="0047556B"/>
    <w:rsid w:val="00475F97"/>
    <w:rsid w:val="00477768"/>
    <w:rsid w:val="00481100"/>
    <w:rsid w:val="004852D8"/>
    <w:rsid w:val="0048611C"/>
    <w:rsid w:val="00490242"/>
    <w:rsid w:val="004905C4"/>
    <w:rsid w:val="00492BC5"/>
    <w:rsid w:val="004936C3"/>
    <w:rsid w:val="004964F1"/>
    <w:rsid w:val="004A16BC"/>
    <w:rsid w:val="004A2B94"/>
    <w:rsid w:val="004A4A75"/>
    <w:rsid w:val="004A5A71"/>
    <w:rsid w:val="004B0B27"/>
    <w:rsid w:val="004B119C"/>
    <w:rsid w:val="004B24A5"/>
    <w:rsid w:val="004B290F"/>
    <w:rsid w:val="004B2DF8"/>
    <w:rsid w:val="004B43EC"/>
    <w:rsid w:val="004B5416"/>
    <w:rsid w:val="004B5CC1"/>
    <w:rsid w:val="004B7C0C"/>
    <w:rsid w:val="004C2CE6"/>
    <w:rsid w:val="004C3898"/>
    <w:rsid w:val="004C7E48"/>
    <w:rsid w:val="004D36B1"/>
    <w:rsid w:val="004D7EBD"/>
    <w:rsid w:val="004E2680"/>
    <w:rsid w:val="004E28F9"/>
    <w:rsid w:val="004E31B5"/>
    <w:rsid w:val="004E462E"/>
    <w:rsid w:val="004E56DC"/>
    <w:rsid w:val="004E76F4"/>
    <w:rsid w:val="004F0B4E"/>
    <w:rsid w:val="004F0B6C"/>
    <w:rsid w:val="004F1A63"/>
    <w:rsid w:val="004F2078"/>
    <w:rsid w:val="004F37CC"/>
    <w:rsid w:val="004F37D5"/>
    <w:rsid w:val="004F43A3"/>
    <w:rsid w:val="004F486C"/>
    <w:rsid w:val="004F4DA3"/>
    <w:rsid w:val="004F506B"/>
    <w:rsid w:val="0050096B"/>
    <w:rsid w:val="00503D0E"/>
    <w:rsid w:val="00504D32"/>
    <w:rsid w:val="00506209"/>
    <w:rsid w:val="00506557"/>
    <w:rsid w:val="0050677A"/>
    <w:rsid w:val="005068C6"/>
    <w:rsid w:val="00506F7D"/>
    <w:rsid w:val="005108D8"/>
    <w:rsid w:val="005116F9"/>
    <w:rsid w:val="00514555"/>
    <w:rsid w:val="005153A7"/>
    <w:rsid w:val="00517638"/>
    <w:rsid w:val="00520531"/>
    <w:rsid w:val="005219CF"/>
    <w:rsid w:val="00522864"/>
    <w:rsid w:val="0052303E"/>
    <w:rsid w:val="00525507"/>
    <w:rsid w:val="005270E6"/>
    <w:rsid w:val="0053098F"/>
    <w:rsid w:val="005312C8"/>
    <w:rsid w:val="00531534"/>
    <w:rsid w:val="0053211F"/>
    <w:rsid w:val="00533301"/>
    <w:rsid w:val="005338D0"/>
    <w:rsid w:val="00534B59"/>
    <w:rsid w:val="00536759"/>
    <w:rsid w:val="00537C62"/>
    <w:rsid w:val="00540F2F"/>
    <w:rsid w:val="005452F7"/>
    <w:rsid w:val="00546970"/>
    <w:rsid w:val="00551C3B"/>
    <w:rsid w:val="00551F2C"/>
    <w:rsid w:val="00554E19"/>
    <w:rsid w:val="005608EE"/>
    <w:rsid w:val="0056121F"/>
    <w:rsid w:val="005630A2"/>
    <w:rsid w:val="00564302"/>
    <w:rsid w:val="005648ED"/>
    <w:rsid w:val="00566257"/>
    <w:rsid w:val="00566890"/>
    <w:rsid w:val="00571A9C"/>
    <w:rsid w:val="00572505"/>
    <w:rsid w:val="00572FB5"/>
    <w:rsid w:val="0057306A"/>
    <w:rsid w:val="00577107"/>
    <w:rsid w:val="00577652"/>
    <w:rsid w:val="00577B44"/>
    <w:rsid w:val="00580202"/>
    <w:rsid w:val="00582809"/>
    <w:rsid w:val="0058507F"/>
    <w:rsid w:val="00586741"/>
    <w:rsid w:val="0058798C"/>
    <w:rsid w:val="00587E63"/>
    <w:rsid w:val="005900FA"/>
    <w:rsid w:val="00591D26"/>
    <w:rsid w:val="005935A4"/>
    <w:rsid w:val="005948C2"/>
    <w:rsid w:val="00595793"/>
    <w:rsid w:val="0059583D"/>
    <w:rsid w:val="00595DCA"/>
    <w:rsid w:val="005965AB"/>
    <w:rsid w:val="0059779B"/>
    <w:rsid w:val="00597ABC"/>
    <w:rsid w:val="005A16B4"/>
    <w:rsid w:val="005A209A"/>
    <w:rsid w:val="005A567C"/>
    <w:rsid w:val="005A662D"/>
    <w:rsid w:val="005A6E41"/>
    <w:rsid w:val="005A6F0B"/>
    <w:rsid w:val="005B35D7"/>
    <w:rsid w:val="005B392A"/>
    <w:rsid w:val="005B3AA3"/>
    <w:rsid w:val="005B64C1"/>
    <w:rsid w:val="005B6F83"/>
    <w:rsid w:val="005B7EFF"/>
    <w:rsid w:val="005C0F36"/>
    <w:rsid w:val="005C147F"/>
    <w:rsid w:val="005C3C87"/>
    <w:rsid w:val="005C44A0"/>
    <w:rsid w:val="005C74FB"/>
    <w:rsid w:val="005D0010"/>
    <w:rsid w:val="005D054D"/>
    <w:rsid w:val="005D072E"/>
    <w:rsid w:val="005D10F7"/>
    <w:rsid w:val="005D1602"/>
    <w:rsid w:val="005D182B"/>
    <w:rsid w:val="005D3603"/>
    <w:rsid w:val="005D68DA"/>
    <w:rsid w:val="005D6924"/>
    <w:rsid w:val="005E1BA8"/>
    <w:rsid w:val="005E272C"/>
    <w:rsid w:val="005E2FF6"/>
    <w:rsid w:val="005E3363"/>
    <w:rsid w:val="005E342B"/>
    <w:rsid w:val="005E385F"/>
    <w:rsid w:val="005E5B81"/>
    <w:rsid w:val="005E7466"/>
    <w:rsid w:val="005F11AF"/>
    <w:rsid w:val="005F16AA"/>
    <w:rsid w:val="005F254B"/>
    <w:rsid w:val="005F2CB1"/>
    <w:rsid w:val="005F3025"/>
    <w:rsid w:val="005F4D03"/>
    <w:rsid w:val="005F618C"/>
    <w:rsid w:val="005F67D3"/>
    <w:rsid w:val="005F70BD"/>
    <w:rsid w:val="00601689"/>
    <w:rsid w:val="0060283C"/>
    <w:rsid w:val="0060305A"/>
    <w:rsid w:val="00603452"/>
    <w:rsid w:val="00604F14"/>
    <w:rsid w:val="00605C4F"/>
    <w:rsid w:val="00605F62"/>
    <w:rsid w:val="00607E7B"/>
    <w:rsid w:val="00611738"/>
    <w:rsid w:val="00611A4D"/>
    <w:rsid w:val="00611B83"/>
    <w:rsid w:val="00613257"/>
    <w:rsid w:val="00615497"/>
    <w:rsid w:val="00615D9C"/>
    <w:rsid w:val="00616B9D"/>
    <w:rsid w:val="00617201"/>
    <w:rsid w:val="00620A71"/>
    <w:rsid w:val="00620D80"/>
    <w:rsid w:val="006234A6"/>
    <w:rsid w:val="0062433C"/>
    <w:rsid w:val="00624D23"/>
    <w:rsid w:val="00630001"/>
    <w:rsid w:val="0063038C"/>
    <w:rsid w:val="006311B3"/>
    <w:rsid w:val="00631D46"/>
    <w:rsid w:val="0063284C"/>
    <w:rsid w:val="00632EE8"/>
    <w:rsid w:val="00632F56"/>
    <w:rsid w:val="00635695"/>
    <w:rsid w:val="00636398"/>
    <w:rsid w:val="006368D3"/>
    <w:rsid w:val="006377EC"/>
    <w:rsid w:val="00640F42"/>
    <w:rsid w:val="0064151F"/>
    <w:rsid w:val="00641533"/>
    <w:rsid w:val="0064208D"/>
    <w:rsid w:val="00643475"/>
    <w:rsid w:val="0064396A"/>
    <w:rsid w:val="00645E6E"/>
    <w:rsid w:val="0064624E"/>
    <w:rsid w:val="00650AB9"/>
    <w:rsid w:val="00652681"/>
    <w:rsid w:val="006556C5"/>
    <w:rsid w:val="00655733"/>
    <w:rsid w:val="00655865"/>
    <w:rsid w:val="00655ACD"/>
    <w:rsid w:val="00656199"/>
    <w:rsid w:val="00656A92"/>
    <w:rsid w:val="00656DDE"/>
    <w:rsid w:val="0066011D"/>
    <w:rsid w:val="006607C0"/>
    <w:rsid w:val="00660A94"/>
    <w:rsid w:val="00660D1C"/>
    <w:rsid w:val="006613A6"/>
    <w:rsid w:val="00661869"/>
    <w:rsid w:val="00661CE7"/>
    <w:rsid w:val="006627A2"/>
    <w:rsid w:val="006634E6"/>
    <w:rsid w:val="006655EE"/>
    <w:rsid w:val="006666E8"/>
    <w:rsid w:val="00666822"/>
    <w:rsid w:val="00667EE7"/>
    <w:rsid w:val="00670922"/>
    <w:rsid w:val="00670BE1"/>
    <w:rsid w:val="00671599"/>
    <w:rsid w:val="0067218F"/>
    <w:rsid w:val="006741F2"/>
    <w:rsid w:val="00674CC3"/>
    <w:rsid w:val="006759BD"/>
    <w:rsid w:val="00675C72"/>
    <w:rsid w:val="00676724"/>
    <w:rsid w:val="00677105"/>
    <w:rsid w:val="006771F9"/>
    <w:rsid w:val="006776D7"/>
    <w:rsid w:val="006776ED"/>
    <w:rsid w:val="00677F60"/>
    <w:rsid w:val="00680A56"/>
    <w:rsid w:val="00681003"/>
    <w:rsid w:val="006817C9"/>
    <w:rsid w:val="00681DEA"/>
    <w:rsid w:val="00682ED1"/>
    <w:rsid w:val="00683ECE"/>
    <w:rsid w:val="0068679A"/>
    <w:rsid w:val="00687437"/>
    <w:rsid w:val="00691932"/>
    <w:rsid w:val="00692127"/>
    <w:rsid w:val="00692724"/>
    <w:rsid w:val="00692924"/>
    <w:rsid w:val="00694B38"/>
    <w:rsid w:val="00694B40"/>
    <w:rsid w:val="0069506A"/>
    <w:rsid w:val="00695FC2"/>
    <w:rsid w:val="00696949"/>
    <w:rsid w:val="00697052"/>
    <w:rsid w:val="006A46FB"/>
    <w:rsid w:val="006A5E28"/>
    <w:rsid w:val="006A697B"/>
    <w:rsid w:val="006A7AFF"/>
    <w:rsid w:val="006B1816"/>
    <w:rsid w:val="006B2099"/>
    <w:rsid w:val="006B21F2"/>
    <w:rsid w:val="006B50CF"/>
    <w:rsid w:val="006B5AE2"/>
    <w:rsid w:val="006C03B8"/>
    <w:rsid w:val="006C2F82"/>
    <w:rsid w:val="006C388E"/>
    <w:rsid w:val="006C5EC9"/>
    <w:rsid w:val="006C6059"/>
    <w:rsid w:val="006C7522"/>
    <w:rsid w:val="006D6F08"/>
    <w:rsid w:val="006D7CC9"/>
    <w:rsid w:val="006E062C"/>
    <w:rsid w:val="006E28B7"/>
    <w:rsid w:val="006E3310"/>
    <w:rsid w:val="006E42EF"/>
    <w:rsid w:val="006E4E39"/>
    <w:rsid w:val="006E565E"/>
    <w:rsid w:val="006E5F59"/>
    <w:rsid w:val="006E673D"/>
    <w:rsid w:val="006E7D3B"/>
    <w:rsid w:val="006F0EEA"/>
    <w:rsid w:val="006F1B70"/>
    <w:rsid w:val="006F1D9C"/>
    <w:rsid w:val="006F2CE3"/>
    <w:rsid w:val="006F341D"/>
    <w:rsid w:val="006F3CDE"/>
    <w:rsid w:val="006F4BA8"/>
    <w:rsid w:val="006F58D4"/>
    <w:rsid w:val="006F62C4"/>
    <w:rsid w:val="006F7C8C"/>
    <w:rsid w:val="00700225"/>
    <w:rsid w:val="00701AA9"/>
    <w:rsid w:val="0070210C"/>
    <w:rsid w:val="00703349"/>
    <w:rsid w:val="0070346E"/>
    <w:rsid w:val="00704EDB"/>
    <w:rsid w:val="0070537F"/>
    <w:rsid w:val="00706101"/>
    <w:rsid w:val="00707072"/>
    <w:rsid w:val="00707D61"/>
    <w:rsid w:val="00711ADB"/>
    <w:rsid w:val="00712287"/>
    <w:rsid w:val="007122E8"/>
    <w:rsid w:val="007125E7"/>
    <w:rsid w:val="00712772"/>
    <w:rsid w:val="00713363"/>
    <w:rsid w:val="00714094"/>
    <w:rsid w:val="007148D3"/>
    <w:rsid w:val="00714A44"/>
    <w:rsid w:val="00715729"/>
    <w:rsid w:val="00715B9A"/>
    <w:rsid w:val="007168FA"/>
    <w:rsid w:val="0072140A"/>
    <w:rsid w:val="00721593"/>
    <w:rsid w:val="00721B13"/>
    <w:rsid w:val="00723376"/>
    <w:rsid w:val="007255BC"/>
    <w:rsid w:val="00726E5C"/>
    <w:rsid w:val="00726EA6"/>
    <w:rsid w:val="00727208"/>
    <w:rsid w:val="00727680"/>
    <w:rsid w:val="00727FAE"/>
    <w:rsid w:val="00732179"/>
    <w:rsid w:val="00733DF4"/>
    <w:rsid w:val="007348B1"/>
    <w:rsid w:val="00734B23"/>
    <w:rsid w:val="007362A6"/>
    <w:rsid w:val="00736D7D"/>
    <w:rsid w:val="007377FE"/>
    <w:rsid w:val="00737FE3"/>
    <w:rsid w:val="007403D9"/>
    <w:rsid w:val="007409DF"/>
    <w:rsid w:val="00740E58"/>
    <w:rsid w:val="00741E9A"/>
    <w:rsid w:val="00744312"/>
    <w:rsid w:val="00744332"/>
    <w:rsid w:val="007445A0"/>
    <w:rsid w:val="0074524B"/>
    <w:rsid w:val="00747D8B"/>
    <w:rsid w:val="00751228"/>
    <w:rsid w:val="00753D85"/>
    <w:rsid w:val="007554CF"/>
    <w:rsid w:val="007560B2"/>
    <w:rsid w:val="007571E1"/>
    <w:rsid w:val="007604B2"/>
    <w:rsid w:val="00763704"/>
    <w:rsid w:val="00764E53"/>
    <w:rsid w:val="00765281"/>
    <w:rsid w:val="00765C28"/>
    <w:rsid w:val="007661E9"/>
    <w:rsid w:val="00766A62"/>
    <w:rsid w:val="00766BAD"/>
    <w:rsid w:val="0077021A"/>
    <w:rsid w:val="00772A57"/>
    <w:rsid w:val="00772D70"/>
    <w:rsid w:val="00772EBF"/>
    <w:rsid w:val="007730BD"/>
    <w:rsid w:val="007755F2"/>
    <w:rsid w:val="007764E2"/>
    <w:rsid w:val="00776971"/>
    <w:rsid w:val="00777D2F"/>
    <w:rsid w:val="007804C0"/>
    <w:rsid w:val="0078177E"/>
    <w:rsid w:val="007818E1"/>
    <w:rsid w:val="0078223F"/>
    <w:rsid w:val="00782566"/>
    <w:rsid w:val="0078304C"/>
    <w:rsid w:val="00783673"/>
    <w:rsid w:val="00784C63"/>
    <w:rsid w:val="00785490"/>
    <w:rsid w:val="00785F6E"/>
    <w:rsid w:val="00786187"/>
    <w:rsid w:val="007901CA"/>
    <w:rsid w:val="00790592"/>
    <w:rsid w:val="00790745"/>
    <w:rsid w:val="007925EA"/>
    <w:rsid w:val="00793CD8"/>
    <w:rsid w:val="007948AC"/>
    <w:rsid w:val="00795C92"/>
    <w:rsid w:val="00796231"/>
    <w:rsid w:val="00796CFA"/>
    <w:rsid w:val="00797D43"/>
    <w:rsid w:val="007A00F1"/>
    <w:rsid w:val="007A0173"/>
    <w:rsid w:val="007A0D10"/>
    <w:rsid w:val="007A1CB3"/>
    <w:rsid w:val="007A25A6"/>
    <w:rsid w:val="007A306F"/>
    <w:rsid w:val="007A43A6"/>
    <w:rsid w:val="007A58A6"/>
    <w:rsid w:val="007B154D"/>
    <w:rsid w:val="007B1C17"/>
    <w:rsid w:val="007B3D2D"/>
    <w:rsid w:val="007B50AE"/>
    <w:rsid w:val="007B51DF"/>
    <w:rsid w:val="007B5FE7"/>
    <w:rsid w:val="007B6051"/>
    <w:rsid w:val="007C05DD"/>
    <w:rsid w:val="007C0707"/>
    <w:rsid w:val="007C1726"/>
    <w:rsid w:val="007C22B1"/>
    <w:rsid w:val="007C3D18"/>
    <w:rsid w:val="007C4A30"/>
    <w:rsid w:val="007C5AB3"/>
    <w:rsid w:val="007C5D13"/>
    <w:rsid w:val="007C603F"/>
    <w:rsid w:val="007C60BF"/>
    <w:rsid w:val="007C6A07"/>
    <w:rsid w:val="007C75A1"/>
    <w:rsid w:val="007C77A5"/>
    <w:rsid w:val="007D04E5"/>
    <w:rsid w:val="007D1A96"/>
    <w:rsid w:val="007D34FF"/>
    <w:rsid w:val="007D4CA0"/>
    <w:rsid w:val="007D5901"/>
    <w:rsid w:val="007D7526"/>
    <w:rsid w:val="007E04EC"/>
    <w:rsid w:val="007E2CC6"/>
    <w:rsid w:val="007E4610"/>
    <w:rsid w:val="007E4715"/>
    <w:rsid w:val="007E4DCE"/>
    <w:rsid w:val="007E505B"/>
    <w:rsid w:val="007E54B6"/>
    <w:rsid w:val="007E5EF5"/>
    <w:rsid w:val="007E7091"/>
    <w:rsid w:val="007E72D0"/>
    <w:rsid w:val="007E76A2"/>
    <w:rsid w:val="007F1A97"/>
    <w:rsid w:val="007F2169"/>
    <w:rsid w:val="007F3538"/>
    <w:rsid w:val="00801FF0"/>
    <w:rsid w:val="008022C2"/>
    <w:rsid w:val="00803A34"/>
    <w:rsid w:val="00803FAE"/>
    <w:rsid w:val="0080605F"/>
    <w:rsid w:val="00806FCA"/>
    <w:rsid w:val="00807786"/>
    <w:rsid w:val="00810966"/>
    <w:rsid w:val="00810BB3"/>
    <w:rsid w:val="00811896"/>
    <w:rsid w:val="00811FCB"/>
    <w:rsid w:val="008121DF"/>
    <w:rsid w:val="00813ED7"/>
    <w:rsid w:val="00813F83"/>
    <w:rsid w:val="008158D6"/>
    <w:rsid w:val="00817196"/>
    <w:rsid w:val="00817EDE"/>
    <w:rsid w:val="008208B6"/>
    <w:rsid w:val="00821DF5"/>
    <w:rsid w:val="008235DB"/>
    <w:rsid w:val="00824AB4"/>
    <w:rsid w:val="00825C42"/>
    <w:rsid w:val="00825D25"/>
    <w:rsid w:val="00825E5D"/>
    <w:rsid w:val="00826036"/>
    <w:rsid w:val="00827D6F"/>
    <w:rsid w:val="008326C3"/>
    <w:rsid w:val="00836B2C"/>
    <w:rsid w:val="008376AC"/>
    <w:rsid w:val="00840953"/>
    <w:rsid w:val="00840F17"/>
    <w:rsid w:val="00842B94"/>
    <w:rsid w:val="008433A5"/>
    <w:rsid w:val="00844305"/>
    <w:rsid w:val="008444E8"/>
    <w:rsid w:val="00844E80"/>
    <w:rsid w:val="00846624"/>
    <w:rsid w:val="00846FE7"/>
    <w:rsid w:val="00847182"/>
    <w:rsid w:val="00850CEC"/>
    <w:rsid w:val="00852A49"/>
    <w:rsid w:val="00852D94"/>
    <w:rsid w:val="00854327"/>
    <w:rsid w:val="00854E3A"/>
    <w:rsid w:val="00855298"/>
    <w:rsid w:val="00855581"/>
    <w:rsid w:val="00855A72"/>
    <w:rsid w:val="00855A74"/>
    <w:rsid w:val="00856911"/>
    <w:rsid w:val="008600F3"/>
    <w:rsid w:val="0086050C"/>
    <w:rsid w:val="00860F7D"/>
    <w:rsid w:val="0086399F"/>
    <w:rsid w:val="00863AEB"/>
    <w:rsid w:val="008677FD"/>
    <w:rsid w:val="0087041A"/>
    <w:rsid w:val="008706D4"/>
    <w:rsid w:val="00870F8A"/>
    <w:rsid w:val="008719A4"/>
    <w:rsid w:val="00871D23"/>
    <w:rsid w:val="008736C7"/>
    <w:rsid w:val="00873E56"/>
    <w:rsid w:val="00874312"/>
    <w:rsid w:val="0087437C"/>
    <w:rsid w:val="008748D6"/>
    <w:rsid w:val="00875CD7"/>
    <w:rsid w:val="00876B4D"/>
    <w:rsid w:val="00877F18"/>
    <w:rsid w:val="00881D9A"/>
    <w:rsid w:val="00884238"/>
    <w:rsid w:val="00887C23"/>
    <w:rsid w:val="008912EF"/>
    <w:rsid w:val="008926B4"/>
    <w:rsid w:val="00892C76"/>
    <w:rsid w:val="00893B51"/>
    <w:rsid w:val="00894866"/>
    <w:rsid w:val="00894A88"/>
    <w:rsid w:val="00895386"/>
    <w:rsid w:val="00897DAD"/>
    <w:rsid w:val="008A0A8E"/>
    <w:rsid w:val="008A21FF"/>
    <w:rsid w:val="008A2CE2"/>
    <w:rsid w:val="008A30AC"/>
    <w:rsid w:val="008A44B8"/>
    <w:rsid w:val="008A51A8"/>
    <w:rsid w:val="008A54C7"/>
    <w:rsid w:val="008A5C52"/>
    <w:rsid w:val="008A5C56"/>
    <w:rsid w:val="008A644A"/>
    <w:rsid w:val="008A77D8"/>
    <w:rsid w:val="008B0483"/>
    <w:rsid w:val="008B120C"/>
    <w:rsid w:val="008B2541"/>
    <w:rsid w:val="008B51A0"/>
    <w:rsid w:val="008B592A"/>
    <w:rsid w:val="008B5BB6"/>
    <w:rsid w:val="008B6FEF"/>
    <w:rsid w:val="008B7586"/>
    <w:rsid w:val="008B7B5C"/>
    <w:rsid w:val="008C07CF"/>
    <w:rsid w:val="008C0C99"/>
    <w:rsid w:val="008C2017"/>
    <w:rsid w:val="008C4958"/>
    <w:rsid w:val="008C4BAA"/>
    <w:rsid w:val="008C5B49"/>
    <w:rsid w:val="008C6AE8"/>
    <w:rsid w:val="008C7573"/>
    <w:rsid w:val="008D34F1"/>
    <w:rsid w:val="008D39D8"/>
    <w:rsid w:val="008D3F88"/>
    <w:rsid w:val="008D6BBB"/>
    <w:rsid w:val="008D6D1A"/>
    <w:rsid w:val="008E065E"/>
    <w:rsid w:val="008E0927"/>
    <w:rsid w:val="008E1909"/>
    <w:rsid w:val="008E3A8F"/>
    <w:rsid w:val="008E576F"/>
    <w:rsid w:val="008E64D1"/>
    <w:rsid w:val="008F0377"/>
    <w:rsid w:val="008F1284"/>
    <w:rsid w:val="008F1EAB"/>
    <w:rsid w:val="008F33DC"/>
    <w:rsid w:val="008F3EAB"/>
    <w:rsid w:val="008F477F"/>
    <w:rsid w:val="008F69F2"/>
    <w:rsid w:val="00901FF1"/>
    <w:rsid w:val="00902350"/>
    <w:rsid w:val="00903327"/>
    <w:rsid w:val="0090336B"/>
    <w:rsid w:val="009046D0"/>
    <w:rsid w:val="00904C13"/>
    <w:rsid w:val="009053AA"/>
    <w:rsid w:val="00906939"/>
    <w:rsid w:val="00906E84"/>
    <w:rsid w:val="00910B7D"/>
    <w:rsid w:val="00911194"/>
    <w:rsid w:val="00911DFB"/>
    <w:rsid w:val="009139D9"/>
    <w:rsid w:val="00914AD8"/>
    <w:rsid w:val="00916079"/>
    <w:rsid w:val="00916666"/>
    <w:rsid w:val="009176D7"/>
    <w:rsid w:val="00917CE9"/>
    <w:rsid w:val="00920BF2"/>
    <w:rsid w:val="00922010"/>
    <w:rsid w:val="00925EE6"/>
    <w:rsid w:val="00927578"/>
    <w:rsid w:val="00927AAE"/>
    <w:rsid w:val="00930378"/>
    <w:rsid w:val="00930B2C"/>
    <w:rsid w:val="00931BD9"/>
    <w:rsid w:val="0093294C"/>
    <w:rsid w:val="009342BE"/>
    <w:rsid w:val="009368F3"/>
    <w:rsid w:val="009413C2"/>
    <w:rsid w:val="00941636"/>
    <w:rsid w:val="009423FE"/>
    <w:rsid w:val="00943742"/>
    <w:rsid w:val="009446F3"/>
    <w:rsid w:val="00945C05"/>
    <w:rsid w:val="00946945"/>
    <w:rsid w:val="00946FE1"/>
    <w:rsid w:val="00947713"/>
    <w:rsid w:val="0095091A"/>
    <w:rsid w:val="00950ABA"/>
    <w:rsid w:val="00950DE7"/>
    <w:rsid w:val="0095149C"/>
    <w:rsid w:val="00953920"/>
    <w:rsid w:val="00953D47"/>
    <w:rsid w:val="0095681E"/>
    <w:rsid w:val="009572D4"/>
    <w:rsid w:val="00957954"/>
    <w:rsid w:val="00960F0C"/>
    <w:rsid w:val="00961921"/>
    <w:rsid w:val="00963B43"/>
    <w:rsid w:val="0096430A"/>
    <w:rsid w:val="0096554B"/>
    <w:rsid w:val="0096584A"/>
    <w:rsid w:val="009670B9"/>
    <w:rsid w:val="009675F6"/>
    <w:rsid w:val="00971F08"/>
    <w:rsid w:val="0097328F"/>
    <w:rsid w:val="009741DE"/>
    <w:rsid w:val="00974CD1"/>
    <w:rsid w:val="00974D42"/>
    <w:rsid w:val="0097603D"/>
    <w:rsid w:val="00976949"/>
    <w:rsid w:val="00980477"/>
    <w:rsid w:val="0098126A"/>
    <w:rsid w:val="00981AFA"/>
    <w:rsid w:val="009820B2"/>
    <w:rsid w:val="00983A0A"/>
    <w:rsid w:val="00984E0D"/>
    <w:rsid w:val="00985253"/>
    <w:rsid w:val="009853B3"/>
    <w:rsid w:val="00987CC2"/>
    <w:rsid w:val="00990239"/>
    <w:rsid w:val="00990630"/>
    <w:rsid w:val="00991761"/>
    <w:rsid w:val="00992A20"/>
    <w:rsid w:val="00994DCA"/>
    <w:rsid w:val="009960EC"/>
    <w:rsid w:val="009970DD"/>
    <w:rsid w:val="009A0FBA"/>
    <w:rsid w:val="009A1601"/>
    <w:rsid w:val="009A18C7"/>
    <w:rsid w:val="009A462D"/>
    <w:rsid w:val="009A57F5"/>
    <w:rsid w:val="009A5CBA"/>
    <w:rsid w:val="009A6F1A"/>
    <w:rsid w:val="009A7276"/>
    <w:rsid w:val="009A76D5"/>
    <w:rsid w:val="009A7721"/>
    <w:rsid w:val="009B1200"/>
    <w:rsid w:val="009B1F30"/>
    <w:rsid w:val="009B2D8B"/>
    <w:rsid w:val="009B3AC2"/>
    <w:rsid w:val="009B43C1"/>
    <w:rsid w:val="009B4DF4"/>
    <w:rsid w:val="009B5497"/>
    <w:rsid w:val="009B564E"/>
    <w:rsid w:val="009B7E87"/>
    <w:rsid w:val="009C1B45"/>
    <w:rsid w:val="009C2254"/>
    <w:rsid w:val="009C2348"/>
    <w:rsid w:val="009C403E"/>
    <w:rsid w:val="009C6318"/>
    <w:rsid w:val="009C78DB"/>
    <w:rsid w:val="009D4BFF"/>
    <w:rsid w:val="009D4FF0"/>
    <w:rsid w:val="009D5BAE"/>
    <w:rsid w:val="009D703C"/>
    <w:rsid w:val="009D718F"/>
    <w:rsid w:val="009E068F"/>
    <w:rsid w:val="009E14E0"/>
    <w:rsid w:val="009E3503"/>
    <w:rsid w:val="009E35DB"/>
    <w:rsid w:val="009E41BB"/>
    <w:rsid w:val="009E47A3"/>
    <w:rsid w:val="009E78E2"/>
    <w:rsid w:val="009F0033"/>
    <w:rsid w:val="009F057B"/>
    <w:rsid w:val="009F08F3"/>
    <w:rsid w:val="009F1ECE"/>
    <w:rsid w:val="009F344F"/>
    <w:rsid w:val="009F3937"/>
    <w:rsid w:val="00A01BF2"/>
    <w:rsid w:val="00A025F5"/>
    <w:rsid w:val="00A02B88"/>
    <w:rsid w:val="00A0393B"/>
    <w:rsid w:val="00A048A8"/>
    <w:rsid w:val="00A04F49"/>
    <w:rsid w:val="00A053C4"/>
    <w:rsid w:val="00A078D4"/>
    <w:rsid w:val="00A1083B"/>
    <w:rsid w:val="00A11409"/>
    <w:rsid w:val="00A12AF4"/>
    <w:rsid w:val="00A13E54"/>
    <w:rsid w:val="00A13F46"/>
    <w:rsid w:val="00A153E8"/>
    <w:rsid w:val="00A15676"/>
    <w:rsid w:val="00A15B74"/>
    <w:rsid w:val="00A174AA"/>
    <w:rsid w:val="00A17F63"/>
    <w:rsid w:val="00A2193B"/>
    <w:rsid w:val="00A2351A"/>
    <w:rsid w:val="00A247B7"/>
    <w:rsid w:val="00A24DC9"/>
    <w:rsid w:val="00A259E8"/>
    <w:rsid w:val="00A26190"/>
    <w:rsid w:val="00A264A9"/>
    <w:rsid w:val="00A27785"/>
    <w:rsid w:val="00A30187"/>
    <w:rsid w:val="00A31245"/>
    <w:rsid w:val="00A3448A"/>
    <w:rsid w:val="00A3584E"/>
    <w:rsid w:val="00A36297"/>
    <w:rsid w:val="00A37061"/>
    <w:rsid w:val="00A40CF4"/>
    <w:rsid w:val="00A41E2B"/>
    <w:rsid w:val="00A44C33"/>
    <w:rsid w:val="00A45B74"/>
    <w:rsid w:val="00A47DFB"/>
    <w:rsid w:val="00A52E1D"/>
    <w:rsid w:val="00A601FA"/>
    <w:rsid w:val="00A61499"/>
    <w:rsid w:val="00A62045"/>
    <w:rsid w:val="00A62A77"/>
    <w:rsid w:val="00A63483"/>
    <w:rsid w:val="00A641A2"/>
    <w:rsid w:val="00A657D7"/>
    <w:rsid w:val="00A65F81"/>
    <w:rsid w:val="00A660AC"/>
    <w:rsid w:val="00A67A98"/>
    <w:rsid w:val="00A67DAB"/>
    <w:rsid w:val="00A67E6C"/>
    <w:rsid w:val="00A703A8"/>
    <w:rsid w:val="00A718FD"/>
    <w:rsid w:val="00A71B99"/>
    <w:rsid w:val="00A72098"/>
    <w:rsid w:val="00A739AB"/>
    <w:rsid w:val="00A739D0"/>
    <w:rsid w:val="00A75CFC"/>
    <w:rsid w:val="00A761D4"/>
    <w:rsid w:val="00A77EC4"/>
    <w:rsid w:val="00A806F8"/>
    <w:rsid w:val="00A810A4"/>
    <w:rsid w:val="00A83B29"/>
    <w:rsid w:val="00A84A8F"/>
    <w:rsid w:val="00A85B3E"/>
    <w:rsid w:val="00A90E81"/>
    <w:rsid w:val="00A91915"/>
    <w:rsid w:val="00A92424"/>
    <w:rsid w:val="00A92879"/>
    <w:rsid w:val="00A9442A"/>
    <w:rsid w:val="00A94CA9"/>
    <w:rsid w:val="00A94D23"/>
    <w:rsid w:val="00A94EBA"/>
    <w:rsid w:val="00A96C10"/>
    <w:rsid w:val="00A97999"/>
    <w:rsid w:val="00AA016F"/>
    <w:rsid w:val="00AA1ED6"/>
    <w:rsid w:val="00AA51D6"/>
    <w:rsid w:val="00AA5D4B"/>
    <w:rsid w:val="00AA7F35"/>
    <w:rsid w:val="00AB02A3"/>
    <w:rsid w:val="00AB0BC8"/>
    <w:rsid w:val="00AB11CA"/>
    <w:rsid w:val="00AB14D9"/>
    <w:rsid w:val="00AB4AB8"/>
    <w:rsid w:val="00AB5410"/>
    <w:rsid w:val="00AB54D1"/>
    <w:rsid w:val="00AB655E"/>
    <w:rsid w:val="00AC007F"/>
    <w:rsid w:val="00AC16EF"/>
    <w:rsid w:val="00AC194A"/>
    <w:rsid w:val="00AC2ECD"/>
    <w:rsid w:val="00AC3119"/>
    <w:rsid w:val="00AC49FB"/>
    <w:rsid w:val="00AC5A10"/>
    <w:rsid w:val="00AC63DE"/>
    <w:rsid w:val="00AC6B37"/>
    <w:rsid w:val="00AD087A"/>
    <w:rsid w:val="00AD0AA3"/>
    <w:rsid w:val="00AD3F94"/>
    <w:rsid w:val="00AD4A5A"/>
    <w:rsid w:val="00AD6134"/>
    <w:rsid w:val="00AD6417"/>
    <w:rsid w:val="00AD69DF"/>
    <w:rsid w:val="00AD72E5"/>
    <w:rsid w:val="00AD782F"/>
    <w:rsid w:val="00AE22E3"/>
    <w:rsid w:val="00AE27AC"/>
    <w:rsid w:val="00AE3FBF"/>
    <w:rsid w:val="00AE40E0"/>
    <w:rsid w:val="00AE4DBA"/>
    <w:rsid w:val="00AE4F07"/>
    <w:rsid w:val="00AE5D71"/>
    <w:rsid w:val="00AE6503"/>
    <w:rsid w:val="00AE786E"/>
    <w:rsid w:val="00AF0201"/>
    <w:rsid w:val="00AF1374"/>
    <w:rsid w:val="00AF1C5D"/>
    <w:rsid w:val="00AF2BE3"/>
    <w:rsid w:val="00AF42D7"/>
    <w:rsid w:val="00B006FE"/>
    <w:rsid w:val="00B007CB"/>
    <w:rsid w:val="00B01F3B"/>
    <w:rsid w:val="00B02AA9"/>
    <w:rsid w:val="00B02F11"/>
    <w:rsid w:val="00B02FA3"/>
    <w:rsid w:val="00B03EEA"/>
    <w:rsid w:val="00B05084"/>
    <w:rsid w:val="00B10383"/>
    <w:rsid w:val="00B1181F"/>
    <w:rsid w:val="00B11B1A"/>
    <w:rsid w:val="00B12E7D"/>
    <w:rsid w:val="00B147AB"/>
    <w:rsid w:val="00B157F9"/>
    <w:rsid w:val="00B167F1"/>
    <w:rsid w:val="00B20256"/>
    <w:rsid w:val="00B20D09"/>
    <w:rsid w:val="00B21194"/>
    <w:rsid w:val="00B21E40"/>
    <w:rsid w:val="00B225BA"/>
    <w:rsid w:val="00B23012"/>
    <w:rsid w:val="00B23445"/>
    <w:rsid w:val="00B25AFC"/>
    <w:rsid w:val="00B271D3"/>
    <w:rsid w:val="00B2763F"/>
    <w:rsid w:val="00B27AAC"/>
    <w:rsid w:val="00B30929"/>
    <w:rsid w:val="00B31FE2"/>
    <w:rsid w:val="00B32A0F"/>
    <w:rsid w:val="00B372AA"/>
    <w:rsid w:val="00B40445"/>
    <w:rsid w:val="00B41154"/>
    <w:rsid w:val="00B41888"/>
    <w:rsid w:val="00B42588"/>
    <w:rsid w:val="00B42BDB"/>
    <w:rsid w:val="00B43012"/>
    <w:rsid w:val="00B43F55"/>
    <w:rsid w:val="00B44085"/>
    <w:rsid w:val="00B4408D"/>
    <w:rsid w:val="00B44B12"/>
    <w:rsid w:val="00B44F69"/>
    <w:rsid w:val="00B45A52"/>
    <w:rsid w:val="00B46175"/>
    <w:rsid w:val="00B465DC"/>
    <w:rsid w:val="00B50F48"/>
    <w:rsid w:val="00B51005"/>
    <w:rsid w:val="00B52ED7"/>
    <w:rsid w:val="00B57AE8"/>
    <w:rsid w:val="00B57C83"/>
    <w:rsid w:val="00B610D9"/>
    <w:rsid w:val="00B61C19"/>
    <w:rsid w:val="00B62AAA"/>
    <w:rsid w:val="00B664C7"/>
    <w:rsid w:val="00B7052C"/>
    <w:rsid w:val="00B72C6B"/>
    <w:rsid w:val="00B72EBB"/>
    <w:rsid w:val="00B739F6"/>
    <w:rsid w:val="00B747CB"/>
    <w:rsid w:val="00B76AF9"/>
    <w:rsid w:val="00B77A1B"/>
    <w:rsid w:val="00B77E14"/>
    <w:rsid w:val="00B81A6C"/>
    <w:rsid w:val="00B83458"/>
    <w:rsid w:val="00B83477"/>
    <w:rsid w:val="00B83FE2"/>
    <w:rsid w:val="00B85524"/>
    <w:rsid w:val="00B85DE5"/>
    <w:rsid w:val="00B90F73"/>
    <w:rsid w:val="00B92605"/>
    <w:rsid w:val="00B93B59"/>
    <w:rsid w:val="00B9406A"/>
    <w:rsid w:val="00B9530D"/>
    <w:rsid w:val="00BA14BE"/>
    <w:rsid w:val="00BA1718"/>
    <w:rsid w:val="00BA1AA5"/>
    <w:rsid w:val="00BA2280"/>
    <w:rsid w:val="00BA28E7"/>
    <w:rsid w:val="00BA2A08"/>
    <w:rsid w:val="00BA3F0E"/>
    <w:rsid w:val="00BA56D2"/>
    <w:rsid w:val="00BA5D3F"/>
    <w:rsid w:val="00BA76E0"/>
    <w:rsid w:val="00BB06E6"/>
    <w:rsid w:val="00BB21BD"/>
    <w:rsid w:val="00BB2A25"/>
    <w:rsid w:val="00BB3477"/>
    <w:rsid w:val="00BB51E9"/>
    <w:rsid w:val="00BC0FDC"/>
    <w:rsid w:val="00BC11D4"/>
    <w:rsid w:val="00BC3053"/>
    <w:rsid w:val="00BC3653"/>
    <w:rsid w:val="00BC4D2E"/>
    <w:rsid w:val="00BC5252"/>
    <w:rsid w:val="00BD0D06"/>
    <w:rsid w:val="00BD130E"/>
    <w:rsid w:val="00BD1BB6"/>
    <w:rsid w:val="00BD2AED"/>
    <w:rsid w:val="00BD3604"/>
    <w:rsid w:val="00BD48AC"/>
    <w:rsid w:val="00BD5F1A"/>
    <w:rsid w:val="00BE1234"/>
    <w:rsid w:val="00BE24B3"/>
    <w:rsid w:val="00BE2971"/>
    <w:rsid w:val="00BE2FA6"/>
    <w:rsid w:val="00BE333F"/>
    <w:rsid w:val="00BE7406"/>
    <w:rsid w:val="00BE7603"/>
    <w:rsid w:val="00BF0D18"/>
    <w:rsid w:val="00BF3279"/>
    <w:rsid w:val="00BF74C7"/>
    <w:rsid w:val="00BF7F9A"/>
    <w:rsid w:val="00C00276"/>
    <w:rsid w:val="00C007AF"/>
    <w:rsid w:val="00C015F1"/>
    <w:rsid w:val="00C01F33"/>
    <w:rsid w:val="00C02CC6"/>
    <w:rsid w:val="00C040F7"/>
    <w:rsid w:val="00C041B0"/>
    <w:rsid w:val="00C044AB"/>
    <w:rsid w:val="00C05706"/>
    <w:rsid w:val="00C065C3"/>
    <w:rsid w:val="00C06A04"/>
    <w:rsid w:val="00C07377"/>
    <w:rsid w:val="00C10478"/>
    <w:rsid w:val="00C12107"/>
    <w:rsid w:val="00C14D4B"/>
    <w:rsid w:val="00C1513C"/>
    <w:rsid w:val="00C154BB"/>
    <w:rsid w:val="00C15948"/>
    <w:rsid w:val="00C165B2"/>
    <w:rsid w:val="00C16CB3"/>
    <w:rsid w:val="00C22921"/>
    <w:rsid w:val="00C254F9"/>
    <w:rsid w:val="00C25DA8"/>
    <w:rsid w:val="00C26B5D"/>
    <w:rsid w:val="00C26FAA"/>
    <w:rsid w:val="00C27662"/>
    <w:rsid w:val="00C279B5"/>
    <w:rsid w:val="00C27C45"/>
    <w:rsid w:val="00C30D09"/>
    <w:rsid w:val="00C35DB8"/>
    <w:rsid w:val="00C3719D"/>
    <w:rsid w:val="00C37EC7"/>
    <w:rsid w:val="00C405C6"/>
    <w:rsid w:val="00C41CB3"/>
    <w:rsid w:val="00C435C7"/>
    <w:rsid w:val="00C4734F"/>
    <w:rsid w:val="00C47695"/>
    <w:rsid w:val="00C50C00"/>
    <w:rsid w:val="00C52E97"/>
    <w:rsid w:val="00C53013"/>
    <w:rsid w:val="00C54995"/>
    <w:rsid w:val="00C54D41"/>
    <w:rsid w:val="00C60783"/>
    <w:rsid w:val="00C611E6"/>
    <w:rsid w:val="00C62A52"/>
    <w:rsid w:val="00C64672"/>
    <w:rsid w:val="00C65D3E"/>
    <w:rsid w:val="00C70697"/>
    <w:rsid w:val="00C71467"/>
    <w:rsid w:val="00C72B97"/>
    <w:rsid w:val="00C72EF4"/>
    <w:rsid w:val="00C740DE"/>
    <w:rsid w:val="00C74E43"/>
    <w:rsid w:val="00C74E8B"/>
    <w:rsid w:val="00C75D2F"/>
    <w:rsid w:val="00C766E9"/>
    <w:rsid w:val="00C767BE"/>
    <w:rsid w:val="00C76963"/>
    <w:rsid w:val="00C76E3C"/>
    <w:rsid w:val="00C802FD"/>
    <w:rsid w:val="00C81568"/>
    <w:rsid w:val="00C8446E"/>
    <w:rsid w:val="00C84DCD"/>
    <w:rsid w:val="00C85A04"/>
    <w:rsid w:val="00C869BF"/>
    <w:rsid w:val="00C87005"/>
    <w:rsid w:val="00C9027A"/>
    <w:rsid w:val="00C9068E"/>
    <w:rsid w:val="00C90D51"/>
    <w:rsid w:val="00C91288"/>
    <w:rsid w:val="00C91B05"/>
    <w:rsid w:val="00C92319"/>
    <w:rsid w:val="00C93C4B"/>
    <w:rsid w:val="00C944AB"/>
    <w:rsid w:val="00C95B40"/>
    <w:rsid w:val="00C962C6"/>
    <w:rsid w:val="00C97565"/>
    <w:rsid w:val="00CA1922"/>
    <w:rsid w:val="00CA1ED8"/>
    <w:rsid w:val="00CA4DFD"/>
    <w:rsid w:val="00CA513C"/>
    <w:rsid w:val="00CA5EB4"/>
    <w:rsid w:val="00CA7A0F"/>
    <w:rsid w:val="00CB05A9"/>
    <w:rsid w:val="00CB1382"/>
    <w:rsid w:val="00CB15CD"/>
    <w:rsid w:val="00CB1976"/>
    <w:rsid w:val="00CB1E20"/>
    <w:rsid w:val="00CB1F63"/>
    <w:rsid w:val="00CB3859"/>
    <w:rsid w:val="00CB6158"/>
    <w:rsid w:val="00CB6301"/>
    <w:rsid w:val="00CB7170"/>
    <w:rsid w:val="00CC040E"/>
    <w:rsid w:val="00CC111F"/>
    <w:rsid w:val="00CC1519"/>
    <w:rsid w:val="00CC2011"/>
    <w:rsid w:val="00CC3AC1"/>
    <w:rsid w:val="00CC3EA0"/>
    <w:rsid w:val="00CC52F4"/>
    <w:rsid w:val="00CC5BB5"/>
    <w:rsid w:val="00CC5C84"/>
    <w:rsid w:val="00CC6305"/>
    <w:rsid w:val="00CC6A9E"/>
    <w:rsid w:val="00CC74D2"/>
    <w:rsid w:val="00CC7B45"/>
    <w:rsid w:val="00CD1188"/>
    <w:rsid w:val="00CD2ED1"/>
    <w:rsid w:val="00CD337B"/>
    <w:rsid w:val="00CD3F90"/>
    <w:rsid w:val="00CE0424"/>
    <w:rsid w:val="00CE14F1"/>
    <w:rsid w:val="00CE27D8"/>
    <w:rsid w:val="00CE2908"/>
    <w:rsid w:val="00CE36CE"/>
    <w:rsid w:val="00CE3BB5"/>
    <w:rsid w:val="00CE4129"/>
    <w:rsid w:val="00CE4B05"/>
    <w:rsid w:val="00CE4D47"/>
    <w:rsid w:val="00CE7561"/>
    <w:rsid w:val="00CF0E5A"/>
    <w:rsid w:val="00CF1354"/>
    <w:rsid w:val="00CF3B1F"/>
    <w:rsid w:val="00CF3BF6"/>
    <w:rsid w:val="00CF3D87"/>
    <w:rsid w:val="00CF4B26"/>
    <w:rsid w:val="00CF51EF"/>
    <w:rsid w:val="00CF625B"/>
    <w:rsid w:val="00CF687E"/>
    <w:rsid w:val="00CF797B"/>
    <w:rsid w:val="00D011B8"/>
    <w:rsid w:val="00D02BCB"/>
    <w:rsid w:val="00D0349B"/>
    <w:rsid w:val="00D04434"/>
    <w:rsid w:val="00D10249"/>
    <w:rsid w:val="00D10C77"/>
    <w:rsid w:val="00D115C3"/>
    <w:rsid w:val="00D11897"/>
    <w:rsid w:val="00D13135"/>
    <w:rsid w:val="00D13E4E"/>
    <w:rsid w:val="00D16C5D"/>
    <w:rsid w:val="00D21B3E"/>
    <w:rsid w:val="00D239A7"/>
    <w:rsid w:val="00D23F47"/>
    <w:rsid w:val="00D254ED"/>
    <w:rsid w:val="00D27025"/>
    <w:rsid w:val="00D27DF3"/>
    <w:rsid w:val="00D3005B"/>
    <w:rsid w:val="00D36E71"/>
    <w:rsid w:val="00D37D87"/>
    <w:rsid w:val="00D37E56"/>
    <w:rsid w:val="00D40B33"/>
    <w:rsid w:val="00D418F2"/>
    <w:rsid w:val="00D4318F"/>
    <w:rsid w:val="00D438BF"/>
    <w:rsid w:val="00D440F8"/>
    <w:rsid w:val="00D4457E"/>
    <w:rsid w:val="00D44A43"/>
    <w:rsid w:val="00D469F0"/>
    <w:rsid w:val="00D5049E"/>
    <w:rsid w:val="00D516CC"/>
    <w:rsid w:val="00D5442D"/>
    <w:rsid w:val="00D546FF"/>
    <w:rsid w:val="00D54C7E"/>
    <w:rsid w:val="00D55AD5"/>
    <w:rsid w:val="00D57234"/>
    <w:rsid w:val="00D576CA"/>
    <w:rsid w:val="00D60E13"/>
    <w:rsid w:val="00D61408"/>
    <w:rsid w:val="00D61A55"/>
    <w:rsid w:val="00D61AF5"/>
    <w:rsid w:val="00D62CD5"/>
    <w:rsid w:val="00D63834"/>
    <w:rsid w:val="00D6435F"/>
    <w:rsid w:val="00D644EA"/>
    <w:rsid w:val="00D64D7C"/>
    <w:rsid w:val="00D652B5"/>
    <w:rsid w:val="00D66155"/>
    <w:rsid w:val="00D66EEC"/>
    <w:rsid w:val="00D708B0"/>
    <w:rsid w:val="00D72696"/>
    <w:rsid w:val="00D76DF3"/>
    <w:rsid w:val="00D77B1D"/>
    <w:rsid w:val="00D80015"/>
    <w:rsid w:val="00D8021F"/>
    <w:rsid w:val="00D80383"/>
    <w:rsid w:val="00D810E4"/>
    <w:rsid w:val="00D823C6"/>
    <w:rsid w:val="00D82EFE"/>
    <w:rsid w:val="00D830F1"/>
    <w:rsid w:val="00D862EF"/>
    <w:rsid w:val="00D86A02"/>
    <w:rsid w:val="00D86CA3"/>
    <w:rsid w:val="00D871CE"/>
    <w:rsid w:val="00D874BD"/>
    <w:rsid w:val="00D9196D"/>
    <w:rsid w:val="00D92982"/>
    <w:rsid w:val="00D93374"/>
    <w:rsid w:val="00D9475E"/>
    <w:rsid w:val="00D9610F"/>
    <w:rsid w:val="00D97908"/>
    <w:rsid w:val="00DA00B9"/>
    <w:rsid w:val="00DA0827"/>
    <w:rsid w:val="00DA1BB8"/>
    <w:rsid w:val="00DA2A25"/>
    <w:rsid w:val="00DA305E"/>
    <w:rsid w:val="00DA3759"/>
    <w:rsid w:val="00DA3BFE"/>
    <w:rsid w:val="00DA5007"/>
    <w:rsid w:val="00DA5417"/>
    <w:rsid w:val="00DA56E8"/>
    <w:rsid w:val="00DA7516"/>
    <w:rsid w:val="00DB0A9F"/>
    <w:rsid w:val="00DB272E"/>
    <w:rsid w:val="00DB2889"/>
    <w:rsid w:val="00DB377D"/>
    <w:rsid w:val="00DB3971"/>
    <w:rsid w:val="00DB3F72"/>
    <w:rsid w:val="00DB526C"/>
    <w:rsid w:val="00DC01FD"/>
    <w:rsid w:val="00DC1EB9"/>
    <w:rsid w:val="00DC2D36"/>
    <w:rsid w:val="00DC3095"/>
    <w:rsid w:val="00DC3B09"/>
    <w:rsid w:val="00DC46E3"/>
    <w:rsid w:val="00DC53EF"/>
    <w:rsid w:val="00DD1FAC"/>
    <w:rsid w:val="00DD6269"/>
    <w:rsid w:val="00DE3B9A"/>
    <w:rsid w:val="00DE3C86"/>
    <w:rsid w:val="00DE3FC8"/>
    <w:rsid w:val="00DE5608"/>
    <w:rsid w:val="00DE58D0"/>
    <w:rsid w:val="00DE654F"/>
    <w:rsid w:val="00DF0AFA"/>
    <w:rsid w:val="00DF0B6E"/>
    <w:rsid w:val="00DF15E0"/>
    <w:rsid w:val="00DF1C9B"/>
    <w:rsid w:val="00DF2B4D"/>
    <w:rsid w:val="00DF37A0"/>
    <w:rsid w:val="00DF6000"/>
    <w:rsid w:val="00DF7F38"/>
    <w:rsid w:val="00E025F3"/>
    <w:rsid w:val="00E076E3"/>
    <w:rsid w:val="00E07FCC"/>
    <w:rsid w:val="00E110E7"/>
    <w:rsid w:val="00E11B20"/>
    <w:rsid w:val="00E130B1"/>
    <w:rsid w:val="00E13151"/>
    <w:rsid w:val="00E161E9"/>
    <w:rsid w:val="00E1691D"/>
    <w:rsid w:val="00E17FA2"/>
    <w:rsid w:val="00E20056"/>
    <w:rsid w:val="00E22330"/>
    <w:rsid w:val="00E22E96"/>
    <w:rsid w:val="00E2377D"/>
    <w:rsid w:val="00E25372"/>
    <w:rsid w:val="00E30B5A"/>
    <w:rsid w:val="00E3123D"/>
    <w:rsid w:val="00E31461"/>
    <w:rsid w:val="00E31D43"/>
    <w:rsid w:val="00E32608"/>
    <w:rsid w:val="00E3290B"/>
    <w:rsid w:val="00E3304A"/>
    <w:rsid w:val="00E34188"/>
    <w:rsid w:val="00E345CD"/>
    <w:rsid w:val="00E34B6E"/>
    <w:rsid w:val="00E34CE0"/>
    <w:rsid w:val="00E35559"/>
    <w:rsid w:val="00E35659"/>
    <w:rsid w:val="00E3662E"/>
    <w:rsid w:val="00E3713B"/>
    <w:rsid w:val="00E3723A"/>
    <w:rsid w:val="00E37860"/>
    <w:rsid w:val="00E40427"/>
    <w:rsid w:val="00E422DB"/>
    <w:rsid w:val="00E42635"/>
    <w:rsid w:val="00E42728"/>
    <w:rsid w:val="00E446F1"/>
    <w:rsid w:val="00E4502B"/>
    <w:rsid w:val="00E45524"/>
    <w:rsid w:val="00E461A8"/>
    <w:rsid w:val="00E46886"/>
    <w:rsid w:val="00E46ED3"/>
    <w:rsid w:val="00E47AEF"/>
    <w:rsid w:val="00E51B07"/>
    <w:rsid w:val="00E53B75"/>
    <w:rsid w:val="00E54E3B"/>
    <w:rsid w:val="00E55281"/>
    <w:rsid w:val="00E5553A"/>
    <w:rsid w:val="00E57565"/>
    <w:rsid w:val="00E60102"/>
    <w:rsid w:val="00E61FA8"/>
    <w:rsid w:val="00E63838"/>
    <w:rsid w:val="00E64434"/>
    <w:rsid w:val="00E663A0"/>
    <w:rsid w:val="00E66A35"/>
    <w:rsid w:val="00E66B02"/>
    <w:rsid w:val="00E66F9D"/>
    <w:rsid w:val="00E67907"/>
    <w:rsid w:val="00E67C51"/>
    <w:rsid w:val="00E72EFC"/>
    <w:rsid w:val="00E735BC"/>
    <w:rsid w:val="00E73EC2"/>
    <w:rsid w:val="00E75374"/>
    <w:rsid w:val="00E758EC"/>
    <w:rsid w:val="00E773AC"/>
    <w:rsid w:val="00E80F00"/>
    <w:rsid w:val="00E82289"/>
    <w:rsid w:val="00E8234C"/>
    <w:rsid w:val="00E82F43"/>
    <w:rsid w:val="00E83AA9"/>
    <w:rsid w:val="00E85928"/>
    <w:rsid w:val="00E87822"/>
    <w:rsid w:val="00E90395"/>
    <w:rsid w:val="00E90E49"/>
    <w:rsid w:val="00E917F9"/>
    <w:rsid w:val="00E924C4"/>
    <w:rsid w:val="00E9291C"/>
    <w:rsid w:val="00E92920"/>
    <w:rsid w:val="00E92B3C"/>
    <w:rsid w:val="00E93FFE"/>
    <w:rsid w:val="00E94F8A"/>
    <w:rsid w:val="00EA52A8"/>
    <w:rsid w:val="00EA7A21"/>
    <w:rsid w:val="00EA7A41"/>
    <w:rsid w:val="00EA7BF3"/>
    <w:rsid w:val="00EB077B"/>
    <w:rsid w:val="00EB1264"/>
    <w:rsid w:val="00EB2BEB"/>
    <w:rsid w:val="00EB4027"/>
    <w:rsid w:val="00EB4564"/>
    <w:rsid w:val="00EB4B6E"/>
    <w:rsid w:val="00EB4EA2"/>
    <w:rsid w:val="00EB7897"/>
    <w:rsid w:val="00EC02D2"/>
    <w:rsid w:val="00EC044D"/>
    <w:rsid w:val="00EC27C6"/>
    <w:rsid w:val="00EC4207"/>
    <w:rsid w:val="00EC5653"/>
    <w:rsid w:val="00EC60B5"/>
    <w:rsid w:val="00EC71CE"/>
    <w:rsid w:val="00EC73B4"/>
    <w:rsid w:val="00EC7756"/>
    <w:rsid w:val="00ED1006"/>
    <w:rsid w:val="00ED14B1"/>
    <w:rsid w:val="00ED16AD"/>
    <w:rsid w:val="00ED37C8"/>
    <w:rsid w:val="00ED7278"/>
    <w:rsid w:val="00EE0B9E"/>
    <w:rsid w:val="00EE4064"/>
    <w:rsid w:val="00EE6EC8"/>
    <w:rsid w:val="00EF18FE"/>
    <w:rsid w:val="00EF4739"/>
    <w:rsid w:val="00EF5787"/>
    <w:rsid w:val="00EF60D0"/>
    <w:rsid w:val="00F02087"/>
    <w:rsid w:val="00F043D6"/>
    <w:rsid w:val="00F0528D"/>
    <w:rsid w:val="00F055DA"/>
    <w:rsid w:val="00F06C67"/>
    <w:rsid w:val="00F06DFD"/>
    <w:rsid w:val="00F071D1"/>
    <w:rsid w:val="00F07533"/>
    <w:rsid w:val="00F10629"/>
    <w:rsid w:val="00F11772"/>
    <w:rsid w:val="00F1486C"/>
    <w:rsid w:val="00F14A54"/>
    <w:rsid w:val="00F15FA5"/>
    <w:rsid w:val="00F17121"/>
    <w:rsid w:val="00F209B7"/>
    <w:rsid w:val="00F22323"/>
    <w:rsid w:val="00F2376F"/>
    <w:rsid w:val="00F243D8"/>
    <w:rsid w:val="00F252BE"/>
    <w:rsid w:val="00F26BBF"/>
    <w:rsid w:val="00F2729A"/>
    <w:rsid w:val="00F30060"/>
    <w:rsid w:val="00F30828"/>
    <w:rsid w:val="00F30DB9"/>
    <w:rsid w:val="00F313D6"/>
    <w:rsid w:val="00F33261"/>
    <w:rsid w:val="00F36417"/>
    <w:rsid w:val="00F40F0C"/>
    <w:rsid w:val="00F42531"/>
    <w:rsid w:val="00F43740"/>
    <w:rsid w:val="00F47057"/>
    <w:rsid w:val="00F4766C"/>
    <w:rsid w:val="00F502A5"/>
    <w:rsid w:val="00F507D1"/>
    <w:rsid w:val="00F519CE"/>
    <w:rsid w:val="00F51ADA"/>
    <w:rsid w:val="00F52865"/>
    <w:rsid w:val="00F607C5"/>
    <w:rsid w:val="00F60DEA"/>
    <w:rsid w:val="00F61634"/>
    <w:rsid w:val="00F6302A"/>
    <w:rsid w:val="00F64C2B"/>
    <w:rsid w:val="00F651BE"/>
    <w:rsid w:val="00F66372"/>
    <w:rsid w:val="00F67F53"/>
    <w:rsid w:val="00F703BE"/>
    <w:rsid w:val="00F715BA"/>
    <w:rsid w:val="00F71F69"/>
    <w:rsid w:val="00F72052"/>
    <w:rsid w:val="00F72B72"/>
    <w:rsid w:val="00F74BB9"/>
    <w:rsid w:val="00F75582"/>
    <w:rsid w:val="00F75947"/>
    <w:rsid w:val="00F75A7F"/>
    <w:rsid w:val="00F76BD3"/>
    <w:rsid w:val="00F76EFA"/>
    <w:rsid w:val="00F804BE"/>
    <w:rsid w:val="00F817CE"/>
    <w:rsid w:val="00F82038"/>
    <w:rsid w:val="00F82236"/>
    <w:rsid w:val="00F8456C"/>
    <w:rsid w:val="00F85701"/>
    <w:rsid w:val="00F859D8"/>
    <w:rsid w:val="00F868F5"/>
    <w:rsid w:val="00F9056A"/>
    <w:rsid w:val="00F90EEA"/>
    <w:rsid w:val="00F90F8D"/>
    <w:rsid w:val="00F92782"/>
    <w:rsid w:val="00F92878"/>
    <w:rsid w:val="00F93AA9"/>
    <w:rsid w:val="00F9560B"/>
    <w:rsid w:val="00F96985"/>
    <w:rsid w:val="00F97838"/>
    <w:rsid w:val="00FA0C81"/>
    <w:rsid w:val="00FA1429"/>
    <w:rsid w:val="00FA1474"/>
    <w:rsid w:val="00FA2BB3"/>
    <w:rsid w:val="00FA45A3"/>
    <w:rsid w:val="00FA7F0F"/>
    <w:rsid w:val="00FB208E"/>
    <w:rsid w:val="00FB2467"/>
    <w:rsid w:val="00FB3043"/>
    <w:rsid w:val="00FB4A25"/>
    <w:rsid w:val="00FB4C80"/>
    <w:rsid w:val="00FB5528"/>
    <w:rsid w:val="00FB5BE9"/>
    <w:rsid w:val="00FB6966"/>
    <w:rsid w:val="00FB6A6A"/>
    <w:rsid w:val="00FC24F9"/>
    <w:rsid w:val="00FC4AD0"/>
    <w:rsid w:val="00FC53CA"/>
    <w:rsid w:val="00FC6653"/>
    <w:rsid w:val="00FC6897"/>
    <w:rsid w:val="00FC7055"/>
    <w:rsid w:val="00FC7429"/>
    <w:rsid w:val="00FC798B"/>
    <w:rsid w:val="00FD07F6"/>
    <w:rsid w:val="00FD1EC8"/>
    <w:rsid w:val="00FD3920"/>
    <w:rsid w:val="00FD3962"/>
    <w:rsid w:val="00FD3FB3"/>
    <w:rsid w:val="00FD47ED"/>
    <w:rsid w:val="00FD6CDB"/>
    <w:rsid w:val="00FD74DB"/>
    <w:rsid w:val="00FD7660"/>
    <w:rsid w:val="00FD7B23"/>
    <w:rsid w:val="00FE0655"/>
    <w:rsid w:val="00FE0D6D"/>
    <w:rsid w:val="00FE211F"/>
    <w:rsid w:val="00FE2365"/>
    <w:rsid w:val="00FE29E2"/>
    <w:rsid w:val="00FE41BC"/>
    <w:rsid w:val="00FE4C7B"/>
    <w:rsid w:val="00FE7336"/>
    <w:rsid w:val="00FE787C"/>
    <w:rsid w:val="00FE7B23"/>
    <w:rsid w:val="00FF2E06"/>
    <w:rsid w:val="00FF3141"/>
    <w:rsid w:val="00FF335B"/>
    <w:rsid w:val="00FF45A5"/>
    <w:rsid w:val="00FF5C1F"/>
    <w:rsid w:val="00FF5C91"/>
    <w:rsid w:val="00FF6867"/>
    <w:rsid w:val="00FF6C49"/>
    <w:rsid w:val="00FF7E2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qFormat/>
    <w:rsid w:val="00317B01"/>
    <w:pPr>
      <w:spacing w:after="180"/>
      <w:jc w:val="left"/>
    </w:pPr>
    <w:rPr>
      <w:lang w:eastAsia="en-US"/>
    </w:rPr>
  </w:style>
  <w:style w:type="paragraph" w:customStyle="1" w:styleId="B4">
    <w:name w:val="B4"/>
    <w:basedOn w:val="List4"/>
    <w:link w:val="B4Char"/>
    <w:qFormat/>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link w:val="B5Char"/>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2A4F4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A4F4E"/>
    <w:rPr>
      <w:rFonts w:ascii="Arial" w:eastAsia="MS Mincho" w:hAnsi="Arial"/>
      <w:szCs w:val="24"/>
      <w:lang w:val="en-GB" w:eastAsia="en-GB"/>
    </w:rPr>
  </w:style>
  <w:style w:type="character" w:customStyle="1" w:styleId="B1Char1">
    <w:name w:val="B1 Char1"/>
    <w:link w:val="B1"/>
    <w:qFormat/>
    <w:rsid w:val="00E61FA8"/>
    <w:rPr>
      <w:rFonts w:ascii="Arial" w:hAnsi="Arial"/>
      <w:lang w:val="en-GB" w:eastAsia="en-US"/>
    </w:rPr>
  </w:style>
  <w:style w:type="paragraph" w:customStyle="1" w:styleId="PL">
    <w:name w:val="PL"/>
    <w:link w:val="PLChar"/>
    <w:qFormat/>
    <w:rsid w:val="00EB78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EB7897"/>
    <w:rPr>
      <w:rFonts w:ascii="Courier New" w:hAnsi="Courier New"/>
      <w:noProof/>
      <w:sz w:val="16"/>
      <w:lang w:eastAsia="en-US"/>
    </w:rPr>
  </w:style>
  <w:style w:type="paragraph" w:styleId="ListParagraph">
    <w:name w:val="List Paragraph"/>
    <w:basedOn w:val="Normal"/>
    <w:link w:val="ListParagraphChar"/>
    <w:uiPriority w:val="34"/>
    <w:qFormat/>
    <w:rsid w:val="00120810"/>
    <w:pPr>
      <w:overflowPunct/>
      <w:autoSpaceDE/>
      <w:autoSpaceDN/>
      <w:adjustRightInd/>
      <w:spacing w:after="160" w:line="256"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ReferenceChar">
    <w:name w:val="Reference Char"/>
    <w:link w:val="Reference"/>
    <w:locked/>
    <w:rsid w:val="00120810"/>
    <w:rPr>
      <w:rFonts w:ascii="Arial" w:hAnsi="Arial"/>
      <w:lang w:val="en-GB"/>
    </w:rPr>
  </w:style>
  <w:style w:type="character" w:customStyle="1" w:styleId="TALCar">
    <w:name w:val="TAL Car"/>
    <w:link w:val="TAL"/>
    <w:qFormat/>
    <w:locked/>
    <w:rsid w:val="00106CB8"/>
    <w:rPr>
      <w:rFonts w:ascii="Arial" w:hAnsi="Arial"/>
      <w:sz w:val="18"/>
      <w:lang w:val="en-GB" w:eastAsia="en-US"/>
    </w:rPr>
  </w:style>
  <w:style w:type="character" w:customStyle="1" w:styleId="TAHCar">
    <w:name w:val="TAH Car"/>
    <w:link w:val="TAH"/>
    <w:qFormat/>
    <w:locked/>
    <w:rsid w:val="00106CB8"/>
    <w:rPr>
      <w:rFonts w:ascii="Arial" w:hAnsi="Arial"/>
      <w:b/>
      <w:sz w:val="18"/>
      <w:lang w:val="en-GB" w:eastAsia="en-US"/>
    </w:rPr>
  </w:style>
  <w:style w:type="character" w:customStyle="1" w:styleId="NOChar">
    <w:name w:val="NO Char"/>
    <w:link w:val="NO"/>
    <w:qFormat/>
    <w:locked/>
    <w:rsid w:val="00FC53CA"/>
    <w:rPr>
      <w:rFonts w:ascii="Times New Roman" w:hAnsi="Times New Roman"/>
      <w:lang w:val="x-none" w:eastAsia="ja-JP"/>
    </w:rPr>
  </w:style>
  <w:style w:type="paragraph" w:customStyle="1" w:styleId="NO">
    <w:name w:val="NO"/>
    <w:basedOn w:val="Normal"/>
    <w:link w:val="NOChar"/>
    <w:qFormat/>
    <w:rsid w:val="00FC53CA"/>
    <w:pPr>
      <w:keepLines/>
      <w:spacing w:after="180"/>
      <w:ind w:left="1135" w:hanging="851"/>
      <w:jc w:val="left"/>
      <w:textAlignment w:val="auto"/>
    </w:pPr>
    <w:rPr>
      <w:rFonts w:ascii="Times New Roman" w:hAnsi="Times New Roman"/>
      <w:lang w:val="x-none" w:eastAsia="ja-JP"/>
    </w:rPr>
  </w:style>
  <w:style w:type="character" w:customStyle="1" w:styleId="B2Char">
    <w:name w:val="B2 Char"/>
    <w:link w:val="B2"/>
    <w:qFormat/>
    <w:locked/>
    <w:rsid w:val="00FC53CA"/>
    <w:rPr>
      <w:rFonts w:ascii="Arial" w:hAnsi="Arial"/>
      <w:lang w:val="en-GB" w:eastAsia="en-US"/>
    </w:rPr>
  </w:style>
  <w:style w:type="character" w:customStyle="1" w:styleId="B3Char2">
    <w:name w:val="B3 Char2"/>
    <w:link w:val="B3"/>
    <w:qFormat/>
    <w:locked/>
    <w:rsid w:val="00FC53CA"/>
    <w:rPr>
      <w:rFonts w:ascii="Arial" w:hAnsi="Arial"/>
      <w:lang w:val="en-GB" w:eastAsia="en-US"/>
    </w:rPr>
  </w:style>
  <w:style w:type="character" w:customStyle="1" w:styleId="B4Char">
    <w:name w:val="B4 Char"/>
    <w:link w:val="B4"/>
    <w:qFormat/>
    <w:locked/>
    <w:rsid w:val="00FC53CA"/>
    <w:rPr>
      <w:rFonts w:ascii="Arial" w:hAnsi="Arial"/>
      <w:lang w:val="en-GB" w:eastAsia="en-US"/>
    </w:rPr>
  </w:style>
  <w:style w:type="character" w:customStyle="1" w:styleId="B5Char">
    <w:name w:val="B5 Char"/>
    <w:link w:val="B5"/>
    <w:locked/>
    <w:rsid w:val="00FC53CA"/>
    <w:rPr>
      <w:rFonts w:ascii="Arial" w:hAnsi="Arial"/>
      <w:lang w:val="en-GB" w:eastAsia="en-US"/>
    </w:rPr>
  </w:style>
  <w:style w:type="character" w:customStyle="1" w:styleId="THChar">
    <w:name w:val="TH Char"/>
    <w:link w:val="TH"/>
    <w:qFormat/>
    <w:locked/>
    <w:rsid w:val="00A91915"/>
    <w:rPr>
      <w:rFonts w:ascii="Arial" w:hAnsi="Arial"/>
      <w:b/>
      <w:lang w:val="en-GB" w:eastAsia="en-US"/>
    </w:rPr>
  </w:style>
  <w:style w:type="character" w:customStyle="1" w:styleId="EditorsNoteChar">
    <w:name w:val="Editor's Note Char"/>
    <w:aliases w:val="EN Char"/>
    <w:link w:val="EditorsNote"/>
    <w:rsid w:val="00A94CA9"/>
    <w:rPr>
      <w:rFonts w:ascii="Arial" w:hAnsi="Arial"/>
      <w:color w:val="FF0000"/>
      <w:lang w:val="en-GB" w:eastAsia="en-US"/>
    </w:rPr>
  </w:style>
  <w:style w:type="character" w:customStyle="1" w:styleId="CommentTextChar">
    <w:name w:val="Comment Text Char"/>
    <w:link w:val="CommentText"/>
    <w:uiPriority w:val="99"/>
    <w:qFormat/>
    <w:rsid w:val="00A94CA9"/>
    <w:rPr>
      <w:rFonts w:ascii="Arial" w:hAnsi="Arial"/>
      <w:lang w:val="en-GB"/>
    </w:rPr>
  </w:style>
  <w:style w:type="character" w:customStyle="1" w:styleId="TFChar">
    <w:name w:val="TF Char"/>
    <w:link w:val="TF"/>
    <w:rsid w:val="002B7FDF"/>
    <w:rPr>
      <w:rFonts w:ascii="Arial" w:hAnsi="Arial"/>
      <w:b/>
      <w:lang w:val="en-GB" w:eastAsia="en-US"/>
    </w:rPr>
  </w:style>
  <w:style w:type="paragraph" w:customStyle="1" w:styleId="B6">
    <w:name w:val="B6"/>
    <w:basedOn w:val="B5"/>
    <w:link w:val="B6Char"/>
    <w:rsid w:val="002B7FDF"/>
    <w:pPr>
      <w:ind w:left="1985"/>
    </w:pPr>
    <w:rPr>
      <w:rFonts w:ascii="Times New Roman" w:eastAsia="MS Mincho" w:hAnsi="Times New Roman"/>
      <w:lang w:eastAsia="ja-JP"/>
    </w:rPr>
  </w:style>
  <w:style w:type="character" w:customStyle="1" w:styleId="B6Char">
    <w:name w:val="B6 Char"/>
    <w:link w:val="B6"/>
    <w:rsid w:val="002B7FDF"/>
    <w:rPr>
      <w:rFonts w:ascii="Times New Roman" w:eastAsia="MS Mincho" w:hAnsi="Times New Roman"/>
      <w:lang w:val="en-GB" w:eastAsia="ja-JP"/>
    </w:rPr>
  </w:style>
  <w:style w:type="paragraph" w:customStyle="1" w:styleId="Doc-title">
    <w:name w:val="Doc-title"/>
    <w:basedOn w:val="Normal"/>
    <w:next w:val="Doc-text2"/>
    <w:link w:val="Doc-titleChar"/>
    <w:qFormat/>
    <w:rsid w:val="004B0B2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4B0B27"/>
    <w:rPr>
      <w:rFonts w:ascii="Arial" w:eastAsia="MS Mincho" w:hAnsi="Arial"/>
      <w:noProof/>
      <w:szCs w:val="24"/>
      <w:lang w:val="en-GB" w:eastAsia="en-GB"/>
    </w:rPr>
  </w:style>
  <w:style w:type="paragraph" w:customStyle="1" w:styleId="IvDInstructiontext">
    <w:name w:val="IvD Instructiontext"/>
    <w:basedOn w:val="BodyText"/>
    <w:link w:val="IvDInstructiontextChar"/>
    <w:uiPriority w:val="99"/>
    <w:qFormat/>
    <w:rsid w:val="0058507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58507F"/>
    <w:rPr>
      <w:rFonts w:ascii="Arial" w:hAnsi="Arial"/>
      <w:i/>
      <w:color w:val="7F7F7F" w:themeColor="text1" w:themeTint="80"/>
      <w:spacing w:val="2"/>
      <w:sz w:val="18"/>
      <w:szCs w:val="18"/>
      <w:lang w:eastAsia="en-US"/>
    </w:rPr>
  </w:style>
  <w:style w:type="character" w:customStyle="1" w:styleId="normaltextrun">
    <w:name w:val="normaltextrun"/>
    <w:basedOn w:val="DefaultParagraphFont"/>
    <w:rsid w:val="003149C6"/>
  </w:style>
  <w:style w:type="character" w:customStyle="1" w:styleId="B1Zchn">
    <w:name w:val="B1 Zchn"/>
    <w:basedOn w:val="DefaultParagraphFont"/>
    <w:rsid w:val="00E025F3"/>
    <w:rPr>
      <w:rFonts w:eastAsia="Times New Roman"/>
    </w:rPr>
  </w:style>
  <w:style w:type="character" w:customStyle="1" w:styleId="B2Car">
    <w:name w:val="B2 Car"/>
    <w:rsid w:val="00E025F3"/>
    <w:rPr>
      <w:rFonts w:eastAsia="Times New Roman"/>
    </w:rPr>
  </w:style>
  <w:style w:type="character" w:customStyle="1" w:styleId="ListParagraphChar">
    <w:name w:val="List Paragraph Char"/>
    <w:link w:val="ListParagraph"/>
    <w:uiPriority w:val="34"/>
    <w:locked/>
    <w:rsid w:val="0068679A"/>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47610">
      <w:bodyDiv w:val="1"/>
      <w:marLeft w:val="0"/>
      <w:marRight w:val="0"/>
      <w:marTop w:val="0"/>
      <w:marBottom w:val="0"/>
      <w:divBdr>
        <w:top w:val="none" w:sz="0" w:space="0" w:color="auto"/>
        <w:left w:val="none" w:sz="0" w:space="0" w:color="auto"/>
        <w:bottom w:val="none" w:sz="0" w:space="0" w:color="auto"/>
        <w:right w:val="none" w:sz="0" w:space="0" w:color="auto"/>
      </w:divBdr>
    </w:div>
    <w:div w:id="188643913">
      <w:bodyDiv w:val="1"/>
      <w:marLeft w:val="0"/>
      <w:marRight w:val="0"/>
      <w:marTop w:val="0"/>
      <w:marBottom w:val="0"/>
      <w:divBdr>
        <w:top w:val="none" w:sz="0" w:space="0" w:color="auto"/>
        <w:left w:val="none" w:sz="0" w:space="0" w:color="auto"/>
        <w:bottom w:val="none" w:sz="0" w:space="0" w:color="auto"/>
        <w:right w:val="none" w:sz="0" w:space="0" w:color="auto"/>
      </w:divBdr>
    </w:div>
    <w:div w:id="730998987">
      <w:bodyDiv w:val="1"/>
      <w:marLeft w:val="0"/>
      <w:marRight w:val="0"/>
      <w:marTop w:val="0"/>
      <w:marBottom w:val="0"/>
      <w:divBdr>
        <w:top w:val="none" w:sz="0" w:space="0" w:color="auto"/>
        <w:left w:val="none" w:sz="0" w:space="0" w:color="auto"/>
        <w:bottom w:val="none" w:sz="0" w:space="0" w:color="auto"/>
        <w:right w:val="none" w:sz="0" w:space="0" w:color="auto"/>
      </w:divBdr>
    </w:div>
    <w:div w:id="762385150">
      <w:bodyDiv w:val="1"/>
      <w:marLeft w:val="0"/>
      <w:marRight w:val="0"/>
      <w:marTop w:val="0"/>
      <w:marBottom w:val="0"/>
      <w:divBdr>
        <w:top w:val="none" w:sz="0" w:space="0" w:color="auto"/>
        <w:left w:val="none" w:sz="0" w:space="0" w:color="auto"/>
        <w:bottom w:val="none" w:sz="0" w:space="0" w:color="auto"/>
        <w:right w:val="none" w:sz="0" w:space="0" w:color="auto"/>
      </w:divBdr>
    </w:div>
    <w:div w:id="778719209">
      <w:bodyDiv w:val="1"/>
      <w:marLeft w:val="0"/>
      <w:marRight w:val="0"/>
      <w:marTop w:val="0"/>
      <w:marBottom w:val="0"/>
      <w:divBdr>
        <w:top w:val="none" w:sz="0" w:space="0" w:color="auto"/>
        <w:left w:val="none" w:sz="0" w:space="0" w:color="auto"/>
        <w:bottom w:val="none" w:sz="0" w:space="0" w:color="auto"/>
        <w:right w:val="none" w:sz="0" w:space="0" w:color="auto"/>
      </w:divBdr>
    </w:div>
    <w:div w:id="855507036">
      <w:bodyDiv w:val="1"/>
      <w:marLeft w:val="0"/>
      <w:marRight w:val="0"/>
      <w:marTop w:val="0"/>
      <w:marBottom w:val="0"/>
      <w:divBdr>
        <w:top w:val="none" w:sz="0" w:space="0" w:color="auto"/>
        <w:left w:val="none" w:sz="0" w:space="0" w:color="auto"/>
        <w:bottom w:val="none" w:sz="0" w:space="0" w:color="auto"/>
        <w:right w:val="none" w:sz="0" w:space="0" w:color="auto"/>
      </w:divBdr>
    </w:div>
    <w:div w:id="872546412">
      <w:bodyDiv w:val="1"/>
      <w:marLeft w:val="0"/>
      <w:marRight w:val="0"/>
      <w:marTop w:val="0"/>
      <w:marBottom w:val="0"/>
      <w:divBdr>
        <w:top w:val="none" w:sz="0" w:space="0" w:color="auto"/>
        <w:left w:val="none" w:sz="0" w:space="0" w:color="auto"/>
        <w:bottom w:val="none" w:sz="0" w:space="0" w:color="auto"/>
        <w:right w:val="none" w:sz="0" w:space="0" w:color="auto"/>
      </w:divBdr>
    </w:div>
    <w:div w:id="879131843">
      <w:bodyDiv w:val="1"/>
      <w:marLeft w:val="0"/>
      <w:marRight w:val="0"/>
      <w:marTop w:val="0"/>
      <w:marBottom w:val="0"/>
      <w:divBdr>
        <w:top w:val="none" w:sz="0" w:space="0" w:color="auto"/>
        <w:left w:val="none" w:sz="0" w:space="0" w:color="auto"/>
        <w:bottom w:val="none" w:sz="0" w:space="0" w:color="auto"/>
        <w:right w:val="none" w:sz="0" w:space="0" w:color="auto"/>
      </w:divBdr>
    </w:div>
    <w:div w:id="1146707436">
      <w:bodyDiv w:val="1"/>
      <w:marLeft w:val="0"/>
      <w:marRight w:val="0"/>
      <w:marTop w:val="0"/>
      <w:marBottom w:val="0"/>
      <w:divBdr>
        <w:top w:val="none" w:sz="0" w:space="0" w:color="auto"/>
        <w:left w:val="none" w:sz="0" w:space="0" w:color="auto"/>
        <w:bottom w:val="none" w:sz="0" w:space="0" w:color="auto"/>
        <w:right w:val="none" w:sz="0" w:space="0" w:color="auto"/>
      </w:divBdr>
    </w:div>
    <w:div w:id="1188250347">
      <w:bodyDiv w:val="1"/>
      <w:marLeft w:val="0"/>
      <w:marRight w:val="0"/>
      <w:marTop w:val="0"/>
      <w:marBottom w:val="0"/>
      <w:divBdr>
        <w:top w:val="none" w:sz="0" w:space="0" w:color="auto"/>
        <w:left w:val="none" w:sz="0" w:space="0" w:color="auto"/>
        <w:bottom w:val="none" w:sz="0" w:space="0" w:color="auto"/>
        <w:right w:val="none" w:sz="0" w:space="0" w:color="auto"/>
      </w:divBdr>
    </w:div>
    <w:div w:id="1281493944">
      <w:bodyDiv w:val="1"/>
      <w:marLeft w:val="0"/>
      <w:marRight w:val="0"/>
      <w:marTop w:val="0"/>
      <w:marBottom w:val="0"/>
      <w:divBdr>
        <w:top w:val="none" w:sz="0" w:space="0" w:color="auto"/>
        <w:left w:val="none" w:sz="0" w:space="0" w:color="auto"/>
        <w:bottom w:val="none" w:sz="0" w:space="0" w:color="auto"/>
        <w:right w:val="none" w:sz="0" w:space="0" w:color="auto"/>
      </w:divBdr>
    </w:div>
    <w:div w:id="1305700412">
      <w:bodyDiv w:val="1"/>
      <w:marLeft w:val="0"/>
      <w:marRight w:val="0"/>
      <w:marTop w:val="0"/>
      <w:marBottom w:val="0"/>
      <w:divBdr>
        <w:top w:val="none" w:sz="0" w:space="0" w:color="auto"/>
        <w:left w:val="none" w:sz="0" w:space="0" w:color="auto"/>
        <w:bottom w:val="none" w:sz="0" w:space="0" w:color="auto"/>
        <w:right w:val="none" w:sz="0" w:space="0" w:color="auto"/>
      </w:divBdr>
    </w:div>
    <w:div w:id="1639065009">
      <w:bodyDiv w:val="1"/>
      <w:marLeft w:val="0"/>
      <w:marRight w:val="0"/>
      <w:marTop w:val="0"/>
      <w:marBottom w:val="0"/>
      <w:divBdr>
        <w:top w:val="none" w:sz="0" w:space="0" w:color="auto"/>
        <w:left w:val="none" w:sz="0" w:space="0" w:color="auto"/>
        <w:bottom w:val="none" w:sz="0" w:space="0" w:color="auto"/>
        <w:right w:val="none" w:sz="0" w:space="0" w:color="auto"/>
      </w:divBdr>
    </w:div>
    <w:div w:id="1690257799">
      <w:bodyDiv w:val="1"/>
      <w:marLeft w:val="0"/>
      <w:marRight w:val="0"/>
      <w:marTop w:val="0"/>
      <w:marBottom w:val="0"/>
      <w:divBdr>
        <w:top w:val="none" w:sz="0" w:space="0" w:color="auto"/>
        <w:left w:val="none" w:sz="0" w:space="0" w:color="auto"/>
        <w:bottom w:val="none" w:sz="0" w:space="0" w:color="auto"/>
        <w:right w:val="none" w:sz="0" w:space="0" w:color="auto"/>
      </w:divBdr>
    </w:div>
    <w:div w:id="1693143331">
      <w:bodyDiv w:val="1"/>
      <w:marLeft w:val="0"/>
      <w:marRight w:val="0"/>
      <w:marTop w:val="0"/>
      <w:marBottom w:val="0"/>
      <w:divBdr>
        <w:top w:val="none" w:sz="0" w:space="0" w:color="auto"/>
        <w:left w:val="none" w:sz="0" w:space="0" w:color="auto"/>
        <w:bottom w:val="none" w:sz="0" w:space="0" w:color="auto"/>
        <w:right w:val="none" w:sz="0" w:space="0" w:color="auto"/>
      </w:divBdr>
    </w:div>
    <w:div w:id="1841044884">
      <w:bodyDiv w:val="1"/>
      <w:marLeft w:val="0"/>
      <w:marRight w:val="0"/>
      <w:marTop w:val="0"/>
      <w:marBottom w:val="0"/>
      <w:divBdr>
        <w:top w:val="none" w:sz="0" w:space="0" w:color="auto"/>
        <w:left w:val="none" w:sz="0" w:space="0" w:color="auto"/>
        <w:bottom w:val="none" w:sz="0" w:space="0" w:color="auto"/>
        <w:right w:val="none" w:sz="0" w:space="0" w:color="auto"/>
      </w:divBdr>
    </w:div>
    <w:div w:id="1880435281">
      <w:bodyDiv w:val="1"/>
      <w:marLeft w:val="0"/>
      <w:marRight w:val="0"/>
      <w:marTop w:val="0"/>
      <w:marBottom w:val="0"/>
      <w:divBdr>
        <w:top w:val="none" w:sz="0" w:space="0" w:color="auto"/>
        <w:left w:val="none" w:sz="0" w:space="0" w:color="auto"/>
        <w:bottom w:val="none" w:sz="0" w:space="0" w:color="auto"/>
        <w:right w:val="none" w:sz="0" w:space="0" w:color="auto"/>
      </w:divBdr>
      <w:divsChild>
        <w:div w:id="305551382">
          <w:marLeft w:val="360"/>
          <w:marRight w:val="0"/>
          <w:marTop w:val="200"/>
          <w:marBottom w:val="0"/>
          <w:divBdr>
            <w:top w:val="none" w:sz="0" w:space="0" w:color="auto"/>
            <w:left w:val="none" w:sz="0" w:space="0" w:color="auto"/>
            <w:bottom w:val="none" w:sz="0" w:space="0" w:color="auto"/>
            <w:right w:val="none" w:sz="0" w:space="0" w:color="auto"/>
          </w:divBdr>
        </w:div>
        <w:div w:id="1914731052">
          <w:marLeft w:val="1080"/>
          <w:marRight w:val="0"/>
          <w:marTop w:val="100"/>
          <w:marBottom w:val="0"/>
          <w:divBdr>
            <w:top w:val="none" w:sz="0" w:space="0" w:color="auto"/>
            <w:left w:val="none" w:sz="0" w:space="0" w:color="auto"/>
            <w:bottom w:val="none" w:sz="0" w:space="0" w:color="auto"/>
            <w:right w:val="none" w:sz="0" w:space="0" w:color="auto"/>
          </w:divBdr>
        </w:div>
        <w:div w:id="1267420655">
          <w:marLeft w:val="1080"/>
          <w:marRight w:val="0"/>
          <w:marTop w:val="100"/>
          <w:marBottom w:val="0"/>
          <w:divBdr>
            <w:top w:val="none" w:sz="0" w:space="0" w:color="auto"/>
            <w:left w:val="none" w:sz="0" w:space="0" w:color="auto"/>
            <w:bottom w:val="none" w:sz="0" w:space="0" w:color="auto"/>
            <w:right w:val="none" w:sz="0" w:space="0" w:color="auto"/>
          </w:divBdr>
        </w:div>
        <w:div w:id="1139613547">
          <w:marLeft w:val="1080"/>
          <w:marRight w:val="0"/>
          <w:marTop w:val="100"/>
          <w:marBottom w:val="0"/>
          <w:divBdr>
            <w:top w:val="none" w:sz="0" w:space="0" w:color="auto"/>
            <w:left w:val="none" w:sz="0" w:space="0" w:color="auto"/>
            <w:bottom w:val="none" w:sz="0" w:space="0" w:color="auto"/>
            <w:right w:val="none" w:sz="0" w:space="0" w:color="auto"/>
          </w:divBdr>
        </w:div>
        <w:div w:id="1850829334">
          <w:marLeft w:val="1080"/>
          <w:marRight w:val="0"/>
          <w:marTop w:val="100"/>
          <w:marBottom w:val="0"/>
          <w:divBdr>
            <w:top w:val="none" w:sz="0" w:space="0" w:color="auto"/>
            <w:left w:val="none" w:sz="0" w:space="0" w:color="auto"/>
            <w:bottom w:val="none" w:sz="0" w:space="0" w:color="auto"/>
            <w:right w:val="none" w:sz="0" w:space="0" w:color="auto"/>
          </w:divBdr>
        </w:div>
        <w:div w:id="1028063851">
          <w:marLeft w:val="1080"/>
          <w:marRight w:val="0"/>
          <w:marTop w:val="100"/>
          <w:marBottom w:val="0"/>
          <w:divBdr>
            <w:top w:val="none" w:sz="0" w:space="0" w:color="auto"/>
            <w:left w:val="none" w:sz="0" w:space="0" w:color="auto"/>
            <w:bottom w:val="none" w:sz="0" w:space="0" w:color="auto"/>
            <w:right w:val="none" w:sz="0" w:space="0" w:color="auto"/>
          </w:divBdr>
        </w:div>
        <w:div w:id="1849060826">
          <w:marLeft w:val="1080"/>
          <w:marRight w:val="0"/>
          <w:marTop w:val="100"/>
          <w:marBottom w:val="0"/>
          <w:divBdr>
            <w:top w:val="none" w:sz="0" w:space="0" w:color="auto"/>
            <w:left w:val="none" w:sz="0" w:space="0" w:color="auto"/>
            <w:bottom w:val="none" w:sz="0" w:space="0" w:color="auto"/>
            <w:right w:val="none" w:sz="0" w:space="0" w:color="auto"/>
          </w:divBdr>
        </w:div>
      </w:divsChild>
    </w:div>
    <w:div w:id="2000838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1F4B6F-B6A9-4C8E-9F4E-B8D30F327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996</Words>
  <Characters>5678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2018-09-27T20:01:00Z</dcterms:created>
  <dcterms:modified xsi:type="dcterms:W3CDTF">2018-09-27T20:01:00Z</dcterms:modified>
</cp:coreProperties>
</file>